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69" w:rsidRPr="00C42BF7" w:rsidRDefault="00643569" w:rsidP="00E35068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</w:p>
    <w:p w:rsidR="00643569" w:rsidRPr="00C42BF7" w:rsidRDefault="00643569" w:rsidP="00060290">
      <w:pPr>
        <w:jc w:val="both"/>
        <w:rPr>
          <w:b/>
          <w:lang w:val="sq-AL"/>
        </w:rPr>
      </w:pPr>
    </w:p>
    <w:p w:rsidR="00643569" w:rsidRPr="00C42BF7" w:rsidRDefault="00643569" w:rsidP="00060290">
      <w:pPr>
        <w:jc w:val="both"/>
        <w:rPr>
          <w:b/>
          <w:lang w:val="sq-AL"/>
        </w:rPr>
      </w:pPr>
    </w:p>
    <w:p w:rsidR="00643569" w:rsidRPr="00C42BF7" w:rsidRDefault="00106493" w:rsidP="00643569">
      <w:pPr>
        <w:jc w:val="center"/>
        <w:rPr>
          <w:noProof/>
          <w:lang w:val="sq-AL"/>
        </w:rPr>
      </w:pPr>
      <w:bookmarkStart w:id="0" w:name="OLE_LINK3"/>
      <w:r w:rsidRPr="00C42BF7">
        <w:rPr>
          <w:noProof/>
        </w:rPr>
        <w:drawing>
          <wp:inline distT="0" distB="0" distL="0" distR="0">
            <wp:extent cx="1133475" cy="1285875"/>
            <wp:effectExtent l="19050" t="0" r="9525" b="0"/>
            <wp:docPr id="1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69" w:rsidRPr="00C42BF7" w:rsidRDefault="00643569" w:rsidP="00643569">
      <w:pPr>
        <w:jc w:val="center"/>
        <w:rPr>
          <w:b/>
          <w:lang w:val="sq-AL"/>
        </w:rPr>
      </w:pPr>
    </w:p>
    <w:p w:rsidR="00643569" w:rsidRPr="00C42BF7" w:rsidRDefault="00643569" w:rsidP="00643569">
      <w:pPr>
        <w:jc w:val="center"/>
        <w:rPr>
          <w:rFonts w:eastAsia="Batang"/>
          <w:b/>
          <w:bCs/>
          <w:lang w:val="sq-AL"/>
        </w:rPr>
      </w:pPr>
      <w:r w:rsidRPr="00C42BF7">
        <w:rPr>
          <w:b/>
          <w:bCs/>
          <w:lang w:val="sq-AL"/>
        </w:rPr>
        <w:t>Republika e Kosovës</w:t>
      </w:r>
    </w:p>
    <w:p w:rsidR="00643569" w:rsidRPr="00C42BF7" w:rsidRDefault="00643569" w:rsidP="00643569">
      <w:pPr>
        <w:jc w:val="center"/>
        <w:rPr>
          <w:b/>
          <w:bCs/>
          <w:lang w:val="sq-AL"/>
        </w:rPr>
      </w:pPr>
      <w:r w:rsidRPr="00C42BF7">
        <w:rPr>
          <w:rFonts w:eastAsia="Batang"/>
          <w:b/>
          <w:bCs/>
          <w:lang w:val="sq-AL"/>
        </w:rPr>
        <w:t xml:space="preserve">Republika Kosova - </w:t>
      </w:r>
      <w:proofErr w:type="spellStart"/>
      <w:r w:rsidRPr="00C42BF7">
        <w:rPr>
          <w:b/>
          <w:bCs/>
          <w:lang w:val="sq-AL"/>
        </w:rPr>
        <w:t>Republic</w:t>
      </w:r>
      <w:proofErr w:type="spellEnd"/>
      <w:r w:rsidRPr="00C42BF7">
        <w:rPr>
          <w:b/>
          <w:bCs/>
          <w:lang w:val="sq-AL"/>
        </w:rPr>
        <w:t xml:space="preserve"> </w:t>
      </w:r>
      <w:proofErr w:type="spellStart"/>
      <w:r w:rsidRPr="00C42BF7">
        <w:rPr>
          <w:b/>
          <w:bCs/>
          <w:lang w:val="sq-AL"/>
        </w:rPr>
        <w:t>of</w:t>
      </w:r>
      <w:proofErr w:type="spellEnd"/>
      <w:r w:rsidRPr="00C42BF7">
        <w:rPr>
          <w:b/>
          <w:bCs/>
          <w:lang w:val="sq-AL"/>
        </w:rPr>
        <w:t xml:space="preserve"> </w:t>
      </w:r>
      <w:proofErr w:type="spellStart"/>
      <w:r w:rsidRPr="00C42BF7">
        <w:rPr>
          <w:b/>
          <w:bCs/>
          <w:lang w:val="sq-AL"/>
        </w:rPr>
        <w:t>Kosovo</w:t>
      </w:r>
      <w:proofErr w:type="spellEnd"/>
    </w:p>
    <w:p w:rsidR="00643569" w:rsidRPr="00C42BF7" w:rsidRDefault="00643569" w:rsidP="00643569">
      <w:pPr>
        <w:jc w:val="center"/>
        <w:rPr>
          <w:b/>
          <w:bCs/>
          <w:i/>
          <w:iCs/>
          <w:lang w:val="sq-AL"/>
        </w:rPr>
      </w:pPr>
      <w:r w:rsidRPr="00C42BF7">
        <w:rPr>
          <w:b/>
          <w:bCs/>
          <w:i/>
          <w:iCs/>
          <w:lang w:val="sq-AL"/>
        </w:rPr>
        <w:t xml:space="preserve">Qeveria - </w:t>
      </w:r>
      <w:proofErr w:type="spellStart"/>
      <w:r w:rsidRPr="00C42BF7">
        <w:rPr>
          <w:b/>
          <w:bCs/>
          <w:i/>
          <w:iCs/>
          <w:lang w:val="sq-AL"/>
        </w:rPr>
        <w:t>Vlada</w:t>
      </w:r>
      <w:proofErr w:type="spellEnd"/>
      <w:r w:rsidRPr="00C42BF7">
        <w:rPr>
          <w:b/>
          <w:bCs/>
          <w:i/>
          <w:iCs/>
          <w:lang w:val="sq-AL"/>
        </w:rPr>
        <w:t xml:space="preserve"> - </w:t>
      </w:r>
      <w:proofErr w:type="spellStart"/>
      <w:r w:rsidRPr="00C42BF7">
        <w:rPr>
          <w:b/>
          <w:bCs/>
          <w:i/>
          <w:iCs/>
          <w:lang w:val="sq-AL"/>
        </w:rPr>
        <w:t>Government</w:t>
      </w:r>
      <w:proofErr w:type="spellEnd"/>
      <w:r w:rsidRPr="00C42BF7">
        <w:rPr>
          <w:b/>
          <w:bCs/>
          <w:i/>
          <w:iCs/>
          <w:lang w:val="sq-AL"/>
        </w:rPr>
        <w:t xml:space="preserve"> </w:t>
      </w:r>
      <w:bookmarkEnd w:id="0"/>
    </w:p>
    <w:p w:rsidR="00643569" w:rsidRPr="00C42BF7" w:rsidRDefault="00643569" w:rsidP="00643569">
      <w:pPr>
        <w:tabs>
          <w:tab w:val="left" w:pos="3834"/>
        </w:tabs>
        <w:jc w:val="center"/>
        <w:rPr>
          <w:b/>
          <w:lang w:val="sq-AL"/>
        </w:rPr>
      </w:pPr>
    </w:p>
    <w:p w:rsidR="00643569" w:rsidRPr="00C42BF7" w:rsidRDefault="00643569" w:rsidP="00643569">
      <w:pPr>
        <w:jc w:val="center"/>
        <w:rPr>
          <w:i/>
          <w:iCs/>
          <w:lang w:val="sq-AL"/>
        </w:rPr>
      </w:pPr>
      <w:r w:rsidRPr="00C42BF7">
        <w:rPr>
          <w:i/>
          <w:iCs/>
          <w:lang w:val="sq-AL"/>
        </w:rPr>
        <w:t>Ministria e Punëve te Brendshme-</w:t>
      </w:r>
      <w:proofErr w:type="spellStart"/>
      <w:r w:rsidRPr="00C42BF7">
        <w:rPr>
          <w:i/>
          <w:iCs/>
          <w:lang w:val="sq-AL"/>
        </w:rPr>
        <w:t>Ministarstvo</w:t>
      </w:r>
      <w:proofErr w:type="spellEnd"/>
      <w:r w:rsidRPr="00C42BF7">
        <w:rPr>
          <w:i/>
          <w:iCs/>
          <w:lang w:val="sq-AL"/>
        </w:rPr>
        <w:t xml:space="preserve"> </w:t>
      </w:r>
      <w:proofErr w:type="spellStart"/>
      <w:r w:rsidRPr="00C42BF7">
        <w:rPr>
          <w:i/>
          <w:iCs/>
          <w:lang w:val="sq-AL"/>
        </w:rPr>
        <w:t>Unutrasnjih</w:t>
      </w:r>
      <w:proofErr w:type="spellEnd"/>
      <w:r w:rsidRPr="00C42BF7">
        <w:rPr>
          <w:i/>
          <w:iCs/>
          <w:lang w:val="sq-AL"/>
        </w:rPr>
        <w:t xml:space="preserve"> </w:t>
      </w:r>
      <w:proofErr w:type="spellStart"/>
      <w:r w:rsidRPr="00C42BF7">
        <w:rPr>
          <w:i/>
          <w:iCs/>
          <w:lang w:val="sq-AL"/>
        </w:rPr>
        <w:t>Poslova</w:t>
      </w:r>
      <w:proofErr w:type="spellEnd"/>
    </w:p>
    <w:p w:rsidR="00643569" w:rsidRPr="00C42BF7" w:rsidRDefault="00643569" w:rsidP="00643569">
      <w:pPr>
        <w:jc w:val="center"/>
        <w:rPr>
          <w:i/>
          <w:iCs/>
          <w:lang w:val="sq-AL"/>
        </w:rPr>
      </w:pPr>
      <w:r w:rsidRPr="00C42BF7">
        <w:rPr>
          <w:i/>
          <w:iCs/>
          <w:lang w:val="sq-AL"/>
        </w:rPr>
        <w:t>-</w:t>
      </w:r>
      <w:proofErr w:type="spellStart"/>
      <w:r w:rsidRPr="00C42BF7">
        <w:rPr>
          <w:i/>
          <w:iCs/>
          <w:lang w:val="sq-AL"/>
        </w:rPr>
        <w:t>Ministry</w:t>
      </w:r>
      <w:proofErr w:type="spellEnd"/>
      <w:r w:rsidRPr="00C42BF7">
        <w:rPr>
          <w:i/>
          <w:iCs/>
          <w:lang w:val="sq-AL"/>
        </w:rPr>
        <w:t xml:space="preserve"> </w:t>
      </w:r>
      <w:proofErr w:type="spellStart"/>
      <w:r w:rsidRPr="00C42BF7">
        <w:rPr>
          <w:i/>
          <w:iCs/>
          <w:lang w:val="sq-AL"/>
        </w:rPr>
        <w:t>of</w:t>
      </w:r>
      <w:proofErr w:type="spellEnd"/>
      <w:r w:rsidRPr="00C42BF7">
        <w:rPr>
          <w:i/>
          <w:iCs/>
          <w:lang w:val="sq-AL"/>
        </w:rPr>
        <w:t xml:space="preserve"> </w:t>
      </w:r>
      <w:proofErr w:type="spellStart"/>
      <w:r w:rsidRPr="00C42BF7">
        <w:rPr>
          <w:i/>
          <w:iCs/>
          <w:lang w:val="sq-AL"/>
        </w:rPr>
        <w:t>Internal</w:t>
      </w:r>
      <w:proofErr w:type="spellEnd"/>
      <w:r w:rsidRPr="00C42BF7">
        <w:rPr>
          <w:i/>
          <w:iCs/>
          <w:lang w:val="sq-AL"/>
        </w:rPr>
        <w:t xml:space="preserve"> </w:t>
      </w:r>
      <w:proofErr w:type="spellStart"/>
      <w:r w:rsidRPr="00C42BF7">
        <w:rPr>
          <w:i/>
          <w:iCs/>
          <w:lang w:val="sq-AL"/>
        </w:rPr>
        <w:t>Affairs</w:t>
      </w:r>
      <w:proofErr w:type="spellEnd"/>
    </w:p>
    <w:p w:rsidR="00643569" w:rsidRPr="00C42BF7" w:rsidRDefault="00643569" w:rsidP="00643569">
      <w:pPr>
        <w:tabs>
          <w:tab w:val="left" w:pos="3834"/>
        </w:tabs>
        <w:jc w:val="center"/>
        <w:rPr>
          <w:b/>
          <w:lang w:val="sq-AL"/>
        </w:rPr>
      </w:pPr>
    </w:p>
    <w:p w:rsidR="00643569" w:rsidRPr="00C42BF7" w:rsidRDefault="00643569" w:rsidP="00643569">
      <w:pPr>
        <w:tabs>
          <w:tab w:val="left" w:pos="3834"/>
        </w:tabs>
        <w:jc w:val="center"/>
        <w:rPr>
          <w:b/>
          <w:lang w:val="sq-AL"/>
        </w:rPr>
      </w:pPr>
    </w:p>
    <w:p w:rsidR="00643569" w:rsidRPr="00C42BF7" w:rsidRDefault="00643569" w:rsidP="00643569">
      <w:pPr>
        <w:tabs>
          <w:tab w:val="left" w:pos="3834"/>
        </w:tabs>
        <w:jc w:val="center"/>
        <w:rPr>
          <w:b/>
          <w:lang w:val="sq-AL"/>
        </w:rPr>
      </w:pPr>
    </w:p>
    <w:p w:rsidR="00643569" w:rsidRPr="00C42BF7" w:rsidRDefault="00643569" w:rsidP="00643569">
      <w:pPr>
        <w:tabs>
          <w:tab w:val="left" w:pos="3834"/>
        </w:tabs>
        <w:jc w:val="center"/>
        <w:rPr>
          <w:b/>
          <w:lang w:val="sq-AL"/>
        </w:rPr>
      </w:pPr>
    </w:p>
    <w:p w:rsidR="00643569" w:rsidRPr="00C42BF7" w:rsidRDefault="00643569" w:rsidP="00643569">
      <w:pPr>
        <w:tabs>
          <w:tab w:val="left" w:pos="3834"/>
        </w:tabs>
        <w:rPr>
          <w:b/>
          <w:lang w:val="sq-AL"/>
        </w:rPr>
      </w:pPr>
    </w:p>
    <w:p w:rsidR="00643569" w:rsidRPr="00C42BF7" w:rsidRDefault="00643569" w:rsidP="00643569">
      <w:pPr>
        <w:tabs>
          <w:tab w:val="left" w:pos="3834"/>
        </w:tabs>
        <w:jc w:val="center"/>
        <w:rPr>
          <w:b/>
          <w:lang w:val="sq-AL"/>
        </w:rPr>
      </w:pPr>
    </w:p>
    <w:p w:rsidR="00643569" w:rsidRPr="00C42BF7" w:rsidRDefault="00643569" w:rsidP="00643569">
      <w:pPr>
        <w:tabs>
          <w:tab w:val="left" w:pos="3834"/>
        </w:tabs>
        <w:jc w:val="center"/>
        <w:rPr>
          <w:b/>
          <w:lang w:val="sq-AL"/>
        </w:rPr>
      </w:pPr>
    </w:p>
    <w:p w:rsidR="00006B47" w:rsidRPr="00C42BF7" w:rsidRDefault="00006B47" w:rsidP="00006B47">
      <w:pPr>
        <w:jc w:val="center"/>
        <w:rPr>
          <w:b/>
          <w:lang w:val="sq-AL"/>
        </w:rPr>
      </w:pPr>
      <w:r w:rsidRPr="00C42BF7">
        <w:rPr>
          <w:b/>
          <w:lang w:val="sq-AL"/>
        </w:rPr>
        <w:t>KONCEPT DOKUMENT  PËR  LETËRNJOFTIM</w:t>
      </w:r>
      <w:r w:rsidR="007F1ED0" w:rsidRPr="00C42BF7">
        <w:rPr>
          <w:b/>
          <w:lang w:val="sq-AL"/>
        </w:rPr>
        <w:t xml:space="preserve">ET </w:t>
      </w: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both"/>
        <w:rPr>
          <w:b/>
          <w:lang w:val="sq-AL"/>
        </w:rPr>
      </w:pPr>
    </w:p>
    <w:p w:rsidR="00643569" w:rsidRPr="00C42BF7" w:rsidRDefault="00643569" w:rsidP="00643569">
      <w:pPr>
        <w:jc w:val="center"/>
        <w:rPr>
          <w:b/>
          <w:lang w:val="sq-AL"/>
        </w:rPr>
      </w:pPr>
      <w:r w:rsidRPr="00C42BF7">
        <w:rPr>
          <w:b/>
          <w:lang w:val="sq-AL"/>
        </w:rPr>
        <w:t>Prishtinë,</w:t>
      </w:r>
      <w:r w:rsidR="007E19F4" w:rsidRPr="00C42BF7">
        <w:rPr>
          <w:b/>
          <w:lang w:val="sq-AL"/>
        </w:rPr>
        <w:t xml:space="preserve"> </w:t>
      </w:r>
      <w:r w:rsidR="001422CA">
        <w:rPr>
          <w:b/>
          <w:lang w:val="sq-AL"/>
        </w:rPr>
        <w:t xml:space="preserve">Qershor </w:t>
      </w:r>
      <w:r w:rsidRPr="00C42BF7">
        <w:rPr>
          <w:b/>
          <w:lang w:val="sq-AL"/>
        </w:rPr>
        <w:t>201</w:t>
      </w:r>
      <w:r w:rsidR="00E85501" w:rsidRPr="00C42BF7">
        <w:rPr>
          <w:b/>
          <w:lang w:val="sq-AL"/>
        </w:rPr>
        <w:t>8</w:t>
      </w:r>
    </w:p>
    <w:p w:rsidR="00A5037B" w:rsidRPr="00C42BF7" w:rsidRDefault="00A5037B" w:rsidP="00643569">
      <w:pPr>
        <w:jc w:val="center"/>
        <w:rPr>
          <w:b/>
          <w:lang w:val="sq-AL"/>
        </w:rPr>
      </w:pPr>
    </w:p>
    <w:p w:rsidR="00A5037B" w:rsidRPr="00C42BF7" w:rsidRDefault="00A5037B" w:rsidP="00643569">
      <w:pPr>
        <w:jc w:val="center"/>
        <w:rPr>
          <w:b/>
          <w:lang w:val="sq-AL"/>
        </w:rPr>
      </w:pPr>
    </w:p>
    <w:p w:rsidR="00172119" w:rsidRPr="00C42BF7" w:rsidRDefault="00172119" w:rsidP="00643569">
      <w:pPr>
        <w:jc w:val="center"/>
        <w:rPr>
          <w:b/>
          <w:lang w:val="sq-AL"/>
        </w:rPr>
      </w:pPr>
    </w:p>
    <w:p w:rsidR="00321E60" w:rsidRPr="00C42BF7" w:rsidRDefault="00321E60" w:rsidP="007F1ED0">
      <w:pPr>
        <w:jc w:val="both"/>
        <w:rPr>
          <w:b/>
          <w:lang w:val="sq-AL"/>
        </w:rPr>
      </w:pPr>
    </w:p>
    <w:p w:rsidR="004D6116" w:rsidRPr="00C42BF7" w:rsidRDefault="007F1ED0" w:rsidP="007F1ED0">
      <w:pPr>
        <w:jc w:val="both"/>
        <w:rPr>
          <w:b/>
          <w:lang w:val="sq-AL"/>
        </w:rPr>
      </w:pPr>
      <w:r w:rsidRPr="00C42BF7">
        <w:rPr>
          <w:b/>
          <w:lang w:val="sq-AL"/>
        </w:rPr>
        <w:t xml:space="preserve">KONCEPT </w:t>
      </w:r>
      <w:r w:rsidR="000B1F04" w:rsidRPr="00C42BF7">
        <w:rPr>
          <w:b/>
          <w:lang w:val="sq-AL"/>
        </w:rPr>
        <w:t xml:space="preserve">DOKUMENT </w:t>
      </w:r>
      <w:r w:rsidRPr="00C42BF7">
        <w:rPr>
          <w:b/>
          <w:lang w:val="sq-AL"/>
        </w:rPr>
        <w:t xml:space="preserve">PËR  LETËRNJOFTIMET </w:t>
      </w:r>
    </w:p>
    <w:p w:rsidR="00321E60" w:rsidRPr="00C42BF7" w:rsidRDefault="00321E60" w:rsidP="007F1ED0">
      <w:pPr>
        <w:jc w:val="both"/>
        <w:rPr>
          <w:b/>
          <w:lang w:val="sq-AL"/>
        </w:rPr>
      </w:pPr>
    </w:p>
    <w:p w:rsidR="004D6116" w:rsidRPr="00C42BF7" w:rsidRDefault="004D6116" w:rsidP="00060290">
      <w:pPr>
        <w:shd w:val="clear" w:color="auto" w:fill="FFFFFF"/>
        <w:tabs>
          <w:tab w:val="left" w:pos="672"/>
        </w:tabs>
        <w:jc w:val="both"/>
        <w:rPr>
          <w:b/>
          <w:spacing w:val="-10"/>
          <w:lang w:val="sq-AL"/>
        </w:rPr>
      </w:pPr>
    </w:p>
    <w:p w:rsidR="0002749E" w:rsidRPr="00C42BF7" w:rsidRDefault="004D6116" w:rsidP="0002749E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 xml:space="preserve">Kapitulli </w:t>
      </w:r>
      <w:r w:rsidR="00EE5713" w:rsidRPr="00C42BF7">
        <w:rPr>
          <w:b/>
          <w:lang w:val="sq-AL"/>
        </w:rPr>
        <w:t>I:</w:t>
      </w:r>
      <w:r w:rsidR="00405DEA" w:rsidRPr="00C42BF7">
        <w:rPr>
          <w:b/>
          <w:lang w:val="sq-AL"/>
        </w:rPr>
        <w:t xml:space="preserve"> </w:t>
      </w:r>
      <w:r w:rsidR="00EE5713" w:rsidRPr="00C42BF7">
        <w:rPr>
          <w:b/>
          <w:lang w:val="sq-AL"/>
        </w:rPr>
        <w:t>Hyrj</w:t>
      </w:r>
      <w:r w:rsidR="0002749E" w:rsidRPr="00C42BF7">
        <w:rPr>
          <w:b/>
          <w:lang w:val="sq-AL"/>
        </w:rPr>
        <w:t>e</w:t>
      </w:r>
    </w:p>
    <w:p w:rsidR="00C361B4" w:rsidRPr="00C42BF7" w:rsidRDefault="003B21AC" w:rsidP="007E595A">
      <w:pPr>
        <w:pStyle w:val="koncept"/>
        <w:rPr>
          <w:rFonts w:ascii="Times New Roman" w:eastAsia="Calibri" w:hAnsi="Times New Roman"/>
          <w:color w:val="auto"/>
          <w:sz w:val="24"/>
          <w:szCs w:val="24"/>
        </w:rPr>
      </w:pPr>
      <w:r w:rsidRPr="00C42BF7">
        <w:rPr>
          <w:rFonts w:ascii="Times New Roman" w:eastAsia="Calibri" w:hAnsi="Times New Roman"/>
          <w:color w:val="auto"/>
          <w:sz w:val="24"/>
          <w:szCs w:val="24"/>
        </w:rPr>
        <w:t>Dokumentet Qeveritare, të cilat e autorizo</w:t>
      </w:r>
      <w:r w:rsidR="009B5D70" w:rsidRPr="00C42BF7">
        <w:rPr>
          <w:rFonts w:ascii="Times New Roman" w:eastAsia="Calibri" w:hAnsi="Times New Roman"/>
          <w:color w:val="auto"/>
          <w:sz w:val="24"/>
          <w:szCs w:val="24"/>
        </w:rPr>
        <w:t>j</w:t>
      </w:r>
      <w:r w:rsidRPr="00C42BF7">
        <w:rPr>
          <w:rFonts w:ascii="Times New Roman" w:eastAsia="Calibri" w:hAnsi="Times New Roman"/>
          <w:color w:val="auto"/>
          <w:sz w:val="24"/>
          <w:szCs w:val="24"/>
        </w:rPr>
        <w:t>n</w:t>
      </w:r>
      <w:r w:rsidR="009B5D7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eastAsia="Calibri" w:hAnsi="Times New Roman"/>
          <w:color w:val="auto"/>
          <w:sz w:val="24"/>
          <w:szCs w:val="24"/>
        </w:rPr>
        <w:t xml:space="preserve"> nxjerrjen (Hartimin) e Koncept Dokumentit për Letërnjoftim janë </w:t>
      </w:r>
      <w:r w:rsidR="00F67F50" w:rsidRPr="00C42BF7">
        <w:rPr>
          <w:rFonts w:ascii="Times New Roman" w:eastAsia="Calibri" w:hAnsi="Times New Roman"/>
          <w:color w:val="auto"/>
          <w:sz w:val="24"/>
          <w:szCs w:val="24"/>
        </w:rPr>
        <w:t>Programi i Punës së Qeverisë</w:t>
      </w:r>
      <w:r w:rsidR="00CB63E0" w:rsidRPr="00C42BF7">
        <w:rPr>
          <w:rFonts w:ascii="Times New Roman" w:eastAsia="Calibri" w:hAnsi="Times New Roman"/>
          <w:color w:val="auto"/>
          <w:sz w:val="24"/>
          <w:szCs w:val="24"/>
        </w:rPr>
        <w:t xml:space="preserve"> 2017-2021, Planit Vjetor </w:t>
      </w:r>
      <w:r w:rsidR="009B5D70" w:rsidRPr="00C42BF7">
        <w:rPr>
          <w:rFonts w:ascii="Times New Roman" w:eastAsia="Calibri" w:hAnsi="Times New Roman"/>
          <w:color w:val="auto"/>
          <w:sz w:val="24"/>
          <w:szCs w:val="24"/>
        </w:rPr>
        <w:t>i</w:t>
      </w:r>
      <w:r w:rsidR="00CB63E0" w:rsidRPr="00C42BF7">
        <w:rPr>
          <w:rFonts w:ascii="Times New Roman" w:eastAsia="Calibri" w:hAnsi="Times New Roman"/>
          <w:color w:val="auto"/>
          <w:sz w:val="24"/>
          <w:szCs w:val="24"/>
        </w:rPr>
        <w:t xml:space="preserve"> Punës së Qeverisë (PVPQ), për vitin 2018, Plani Vjetor të Punës së MPB-së, për vitin 2018 dhe </w:t>
      </w:r>
      <w:r w:rsidRPr="00C42BF7">
        <w:rPr>
          <w:rFonts w:ascii="Times New Roman" w:eastAsia="Calibri" w:hAnsi="Times New Roman"/>
          <w:color w:val="auto"/>
          <w:sz w:val="24"/>
          <w:szCs w:val="24"/>
        </w:rPr>
        <w:t xml:space="preserve">Lista e Koncept Dokumenteve të Qeverisë për vitin 2018, e cila listë miratohet nga Sekretari i Përgjithshëm i ZKM-së duke </w:t>
      </w:r>
      <w:r w:rsidR="00F67F50" w:rsidRPr="00C42BF7">
        <w:rPr>
          <w:rFonts w:ascii="Times New Roman" w:eastAsia="Calibri" w:hAnsi="Times New Roman"/>
          <w:color w:val="auto"/>
          <w:sz w:val="24"/>
          <w:szCs w:val="24"/>
        </w:rPr>
        <w:t xml:space="preserve">u </w:t>
      </w:r>
      <w:r w:rsidRPr="00C42BF7">
        <w:rPr>
          <w:rFonts w:ascii="Times New Roman" w:eastAsia="Calibri" w:hAnsi="Times New Roman"/>
          <w:color w:val="auto"/>
          <w:sz w:val="24"/>
          <w:szCs w:val="24"/>
        </w:rPr>
        <w:t>bazuar në Rregulloren Nr.09/2011 e Punës së Qeverisë.</w:t>
      </w:r>
    </w:p>
    <w:p w:rsidR="00522E79" w:rsidRPr="00C42BF7" w:rsidRDefault="00F67F50" w:rsidP="007E595A">
      <w:pPr>
        <w:spacing w:line="360" w:lineRule="auto"/>
        <w:jc w:val="both"/>
        <w:rPr>
          <w:lang w:val="sq-AL"/>
        </w:rPr>
      </w:pPr>
      <w:bookmarkStart w:id="1" w:name="_GoBack"/>
      <w:r w:rsidRPr="00C42BF7">
        <w:rPr>
          <w:lang w:val="sq-AL"/>
        </w:rPr>
        <w:t>Ngritja e nivelit të shërbimeve për qytetarët dhe ngritja e efikasitet në</w:t>
      </w:r>
      <w:r w:rsidR="009B5D70" w:rsidRPr="00C42BF7">
        <w:rPr>
          <w:lang w:val="sq-AL"/>
        </w:rPr>
        <w:t xml:space="preserve"> administratën publike në</w:t>
      </w:r>
      <w:r w:rsidR="00522E79" w:rsidRPr="00C42BF7">
        <w:rPr>
          <w:lang w:val="sq-AL"/>
        </w:rPr>
        <w:t xml:space="preserve">  shërbimet për qytetarin, si dhe ngritja e  sigurisë </w:t>
      </w:r>
      <w:r w:rsidRPr="00C42BF7">
        <w:rPr>
          <w:lang w:val="sq-AL"/>
        </w:rPr>
        <w:t xml:space="preserve">së </w:t>
      </w:r>
      <w:r w:rsidR="00522E79" w:rsidRPr="00C42BF7">
        <w:rPr>
          <w:lang w:val="sq-AL"/>
        </w:rPr>
        <w:t>dokumenteve (përdorimi i Letërnjoftimi</w:t>
      </w:r>
      <w:r w:rsidRPr="00C42BF7">
        <w:rPr>
          <w:lang w:val="sq-AL"/>
        </w:rPr>
        <w:t>t i cili ka fotografi të</w:t>
      </w:r>
      <w:r w:rsidR="00522E79" w:rsidRPr="00C42BF7">
        <w:rPr>
          <w:lang w:val="sq-AL"/>
        </w:rPr>
        <w:t xml:space="preserve"> integruar  dhe zëvendësimi i </w:t>
      </w:r>
      <w:r w:rsidRPr="00C42BF7">
        <w:rPr>
          <w:lang w:val="sq-AL"/>
        </w:rPr>
        <w:t>ekstr</w:t>
      </w:r>
      <w:r w:rsidR="009B5D70" w:rsidRPr="00C42BF7">
        <w:rPr>
          <w:lang w:val="sq-AL"/>
        </w:rPr>
        <w:t>aktit të</w:t>
      </w:r>
      <w:r w:rsidRPr="00C42BF7">
        <w:rPr>
          <w:lang w:val="sq-AL"/>
        </w:rPr>
        <w:t xml:space="preserve"> lindjes) është </w:t>
      </w:r>
      <w:r w:rsidR="001911F2">
        <w:rPr>
          <w:lang w:val="sq-AL"/>
        </w:rPr>
        <w:t>prioritet i ARC-së, MPB-së dhe Q</w:t>
      </w:r>
      <w:r w:rsidRPr="00C42BF7">
        <w:rPr>
          <w:lang w:val="sq-AL"/>
        </w:rPr>
        <w:t>everisë së</w:t>
      </w:r>
      <w:r w:rsidR="00522E79" w:rsidRPr="00C42BF7">
        <w:rPr>
          <w:lang w:val="sq-AL"/>
        </w:rPr>
        <w:t xml:space="preserve"> Kosovës. Këtu përfshihet:</w:t>
      </w:r>
      <w:r w:rsidR="001A04FB" w:rsidRPr="00C42BF7">
        <w:rPr>
          <w:lang w:val="sq-AL"/>
        </w:rPr>
        <w:t xml:space="preserve"> k</w:t>
      </w:r>
      <w:r w:rsidR="00522E79" w:rsidRPr="00C42BF7">
        <w:rPr>
          <w:lang w:val="sq-AL"/>
        </w:rPr>
        <w:t xml:space="preserve">rijimi </w:t>
      </w:r>
      <w:r w:rsidRPr="00C42BF7">
        <w:rPr>
          <w:lang w:val="sq-AL"/>
        </w:rPr>
        <w:t>i lehtësirave për identifikim më të lehtë te fëmijëve në</w:t>
      </w:r>
      <w:r w:rsidR="00522E79" w:rsidRPr="00C42BF7">
        <w:rPr>
          <w:lang w:val="sq-AL"/>
        </w:rPr>
        <w:t xml:space="preserve"> institucionet shëndetës</w:t>
      </w:r>
      <w:r w:rsidRPr="00C42BF7">
        <w:rPr>
          <w:lang w:val="sq-AL"/>
        </w:rPr>
        <w:t>ore</w:t>
      </w:r>
      <w:r w:rsidR="00522E79" w:rsidRPr="00C42BF7">
        <w:rPr>
          <w:lang w:val="sq-AL"/>
        </w:rPr>
        <w:t xml:space="preserve">, </w:t>
      </w:r>
      <w:r w:rsidR="00CB63E0" w:rsidRPr="00C42BF7">
        <w:rPr>
          <w:lang w:val="sq-AL"/>
        </w:rPr>
        <w:t>arsimore</w:t>
      </w:r>
      <w:r w:rsidRPr="00C42BF7">
        <w:rPr>
          <w:lang w:val="sq-AL"/>
        </w:rPr>
        <w:t>, qasje në</w:t>
      </w:r>
      <w:r w:rsidR="00522E79" w:rsidRPr="00C42BF7">
        <w:rPr>
          <w:lang w:val="sq-AL"/>
        </w:rPr>
        <w:t xml:space="preserve"> internet</w:t>
      </w:r>
      <w:r w:rsidRPr="00C42BF7">
        <w:rPr>
          <w:lang w:val="sq-AL"/>
        </w:rPr>
        <w:t xml:space="preserve"> dhe shërbime të</w:t>
      </w:r>
      <w:r w:rsidR="00CB63E0" w:rsidRPr="00C42BF7">
        <w:rPr>
          <w:lang w:val="sq-AL"/>
        </w:rPr>
        <w:t xml:space="preserve"> tjera elektronike, pastaj </w:t>
      </w:r>
      <w:r w:rsidRPr="00C42BF7">
        <w:rPr>
          <w:lang w:val="sq-AL"/>
        </w:rPr>
        <w:t>lëvizje më të lehtë</w:t>
      </w:r>
      <w:r w:rsidR="00522E79" w:rsidRPr="00C42BF7">
        <w:rPr>
          <w:lang w:val="sq-AL"/>
        </w:rPr>
        <w:t xml:space="preserve"> duke pasur p</w:t>
      </w:r>
      <w:r w:rsidRPr="00C42BF7">
        <w:rPr>
          <w:lang w:val="sq-AL"/>
        </w:rPr>
        <w:t>arasysh që</w:t>
      </w:r>
      <w:r w:rsidR="00CB63E0" w:rsidRPr="00C42BF7">
        <w:rPr>
          <w:lang w:val="sq-AL"/>
        </w:rPr>
        <w:t xml:space="preserve"> Letërnjoftimi aktual</w:t>
      </w:r>
      <w:r w:rsidRPr="00C42BF7">
        <w:rPr>
          <w:lang w:val="sq-AL"/>
        </w:rPr>
        <w:t xml:space="preserve"> mund të përdoret</w:t>
      </w:r>
      <w:r w:rsidR="00522E79" w:rsidRPr="00C42BF7">
        <w:rPr>
          <w:lang w:val="sq-AL"/>
        </w:rPr>
        <w:t xml:space="preserve"> si dokument udhëtimi me vendet fqinje </w:t>
      </w:r>
      <w:r w:rsidRPr="00C42BF7">
        <w:rPr>
          <w:lang w:val="sq-AL"/>
        </w:rPr>
        <w:t>dhe vendet e tjera në bazë të marrëveshjeve ndë</w:t>
      </w:r>
      <w:r w:rsidR="00CB63E0" w:rsidRPr="00C42BF7">
        <w:rPr>
          <w:lang w:val="sq-AL"/>
        </w:rPr>
        <w:t>rshtet</w:t>
      </w:r>
      <w:r w:rsidRPr="00C42BF7">
        <w:rPr>
          <w:lang w:val="sq-AL"/>
        </w:rPr>
        <w:t>ë</w:t>
      </w:r>
      <w:r w:rsidR="00CB63E0" w:rsidRPr="00C42BF7">
        <w:rPr>
          <w:lang w:val="sq-AL"/>
        </w:rPr>
        <w:t xml:space="preserve">rore. </w:t>
      </w:r>
      <w:r w:rsidR="001911F2">
        <w:rPr>
          <w:lang w:val="sq-AL"/>
        </w:rPr>
        <w:t>Po ashtu Q</w:t>
      </w:r>
      <w:r w:rsidRPr="00C42BF7">
        <w:rPr>
          <w:lang w:val="sq-AL"/>
        </w:rPr>
        <w:t>everia Republikës së Kosovës me këtë rast, do të</w:t>
      </w:r>
      <w:r w:rsidR="00522E79" w:rsidRPr="00C42BF7">
        <w:rPr>
          <w:lang w:val="sq-AL"/>
        </w:rPr>
        <w:t xml:space="preserve"> zbatoj</w:t>
      </w:r>
      <w:r w:rsidRPr="00C42BF7">
        <w:rPr>
          <w:lang w:val="sq-AL"/>
        </w:rPr>
        <w:t>ë</w:t>
      </w:r>
      <w:r w:rsidR="00522E79" w:rsidRPr="00C42BF7">
        <w:rPr>
          <w:lang w:val="sq-AL"/>
        </w:rPr>
        <w:t xml:space="preserve"> një qasje </w:t>
      </w:r>
      <w:r w:rsidR="001A04FB" w:rsidRPr="00C42BF7">
        <w:rPr>
          <w:lang w:val="sq-AL"/>
        </w:rPr>
        <w:t>gjithëpërfshirëse edhe</w:t>
      </w:r>
      <w:r w:rsidRPr="00C42BF7">
        <w:rPr>
          <w:lang w:val="sq-AL"/>
        </w:rPr>
        <w:t xml:space="preserve"> ndaj shtetasve të saj nën moshën 16 vjeçare, pasi që ata do të mund të gëzojnë të</w:t>
      </w:r>
      <w:r w:rsidR="00522E79" w:rsidRPr="00C42BF7">
        <w:rPr>
          <w:lang w:val="sq-AL"/>
        </w:rPr>
        <w:t xml:space="preserve"> drejtat sikurse ata mbi moshën 16 vjeçar</w:t>
      </w:r>
      <w:r w:rsidR="00144D30" w:rsidRPr="00C42BF7">
        <w:rPr>
          <w:lang w:val="sq-AL"/>
        </w:rPr>
        <w:t>e, pra pajisje me Letërnjoftim</w:t>
      </w:r>
      <w:bookmarkEnd w:id="1"/>
      <w:r w:rsidR="00144D30" w:rsidRPr="00C42BF7">
        <w:rPr>
          <w:lang w:val="sq-AL"/>
        </w:rPr>
        <w:t>.</w:t>
      </w:r>
    </w:p>
    <w:p w:rsidR="00FD3086" w:rsidRPr="00C42BF7" w:rsidRDefault="00715E20" w:rsidP="007E595A">
      <w:pPr>
        <w:tabs>
          <w:tab w:val="left" w:pos="5515"/>
        </w:tabs>
        <w:spacing w:line="360" w:lineRule="auto"/>
        <w:ind w:left="360"/>
        <w:rPr>
          <w:b/>
          <w:lang w:val="sq-AL"/>
        </w:rPr>
      </w:pPr>
      <w:r w:rsidRPr="00C42BF7">
        <w:rPr>
          <w:b/>
          <w:lang w:val="sq-AL"/>
        </w:rPr>
        <w:tab/>
      </w:r>
    </w:p>
    <w:p w:rsidR="0054037F" w:rsidRPr="00C42BF7" w:rsidRDefault="0054037F" w:rsidP="007E595A">
      <w:pPr>
        <w:spacing w:after="160" w:line="360" w:lineRule="auto"/>
        <w:jc w:val="both"/>
        <w:rPr>
          <w:lang w:val="sq-AL"/>
        </w:rPr>
      </w:pPr>
      <w:r w:rsidRPr="00C42BF7">
        <w:rPr>
          <w:rFonts w:eastAsia="Calibri"/>
          <w:lang w:val="sq-AL"/>
        </w:rPr>
        <w:t>Kjo çështje ndërlidhe</w:t>
      </w:r>
      <w:r w:rsidR="00A21745" w:rsidRPr="00C42BF7">
        <w:rPr>
          <w:rFonts w:eastAsia="Calibri"/>
          <w:lang w:val="sq-AL"/>
        </w:rPr>
        <w:t>t</w:t>
      </w:r>
      <w:r w:rsidRPr="00C42BF7">
        <w:rPr>
          <w:rFonts w:eastAsia="Calibri"/>
          <w:lang w:val="sq-AL"/>
        </w:rPr>
        <w:t xml:space="preserve"> me prioritetet e Qeverisë, përkatësisht me Programin e Punës së Qeverisë, për vitet 2017-2021, në të cilin plan është paraparë  </w:t>
      </w:r>
      <w:r w:rsidRPr="00C42BF7">
        <w:rPr>
          <w:lang w:val="sq-AL"/>
        </w:rPr>
        <w:t>përmirësimi i shërbimeve dhe sigurisë së dokumenteve në agjencinë e regjistrimit civil. Në veçanti në këtë plan është paraparë  ndërlidhja e sistemeve të ARC-së me sistemet tjera si Sistemi i Adresave, Sistemet Shëndetësore, Sistemin Arsimor, Sistemin Gjyqësor të Kosovës dhe sistemet e institucioneve tjera publike dhe private.</w:t>
      </w:r>
      <w:r w:rsidR="00A21745" w:rsidRPr="00C42BF7">
        <w:rPr>
          <w:lang w:val="sq-AL"/>
        </w:rPr>
        <w:t xml:space="preserve">  </w:t>
      </w:r>
      <w:proofErr w:type="spellStart"/>
      <w:r w:rsidR="00A21745" w:rsidRPr="00C42BF7">
        <w:rPr>
          <w:lang w:val="sq-AL"/>
        </w:rPr>
        <w:t>Poashtu</w:t>
      </w:r>
      <w:proofErr w:type="spellEnd"/>
      <w:r w:rsidR="00A21745" w:rsidRPr="00C42BF7">
        <w:rPr>
          <w:lang w:val="sq-AL"/>
        </w:rPr>
        <w:t>, nxjerrja e k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tij koncept dokumenti nd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rlidhet edhe me objektivin 2 (ruajtja e siguris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 xml:space="preserve"> publike si dhe  p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rmir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simi i sh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rbimeve p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r qytetar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t) t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 xml:space="preserve"> PVP/MPB, p</w:t>
      </w:r>
      <w:r w:rsidR="008F7C7C" w:rsidRPr="00C42BF7">
        <w:rPr>
          <w:lang w:val="sq-AL"/>
        </w:rPr>
        <w:t>ë</w:t>
      </w:r>
      <w:r w:rsidR="00A21745" w:rsidRPr="00C42BF7">
        <w:rPr>
          <w:lang w:val="sq-AL"/>
        </w:rPr>
        <w:t>r vitin 2018.</w:t>
      </w:r>
    </w:p>
    <w:p w:rsidR="0054037F" w:rsidRPr="00C42BF7" w:rsidRDefault="0054037F" w:rsidP="007E595A">
      <w:pPr>
        <w:spacing w:after="160" w:line="360" w:lineRule="auto"/>
        <w:jc w:val="both"/>
        <w:rPr>
          <w:b/>
          <w:lang w:val="sq-AL"/>
        </w:rPr>
      </w:pPr>
      <w:r w:rsidRPr="00C42BF7">
        <w:rPr>
          <w:lang w:val="sq-AL"/>
        </w:rPr>
        <w:t>Sigurisht se me hartimin dhe miratimin e këtij KD</w:t>
      </w:r>
      <w:r w:rsidR="00A948C2" w:rsidRPr="00C42BF7">
        <w:rPr>
          <w:lang w:val="sq-AL"/>
        </w:rPr>
        <w:t>,</w:t>
      </w:r>
      <w:r w:rsidRPr="00C42BF7">
        <w:rPr>
          <w:lang w:val="sq-AL"/>
        </w:rPr>
        <w:t xml:space="preserve"> Qeveria do t</w:t>
      </w:r>
      <w:r w:rsidR="00A948C2" w:rsidRPr="00C42BF7">
        <w:rPr>
          <w:lang w:val="sq-AL"/>
        </w:rPr>
        <w:t>ë</w:t>
      </w:r>
      <w:r w:rsidRPr="00C42BF7">
        <w:rPr>
          <w:lang w:val="sq-AL"/>
        </w:rPr>
        <w:t xml:space="preserve"> </w:t>
      </w:r>
      <w:proofErr w:type="spellStart"/>
      <w:r w:rsidRPr="00C42BF7">
        <w:rPr>
          <w:lang w:val="sq-AL"/>
        </w:rPr>
        <w:t>realizoj</w:t>
      </w:r>
      <w:r w:rsidR="00B50C75" w:rsidRPr="00C42BF7">
        <w:rPr>
          <w:lang w:val="sq-AL"/>
        </w:rPr>
        <w:t>ë</w:t>
      </w:r>
      <w:r w:rsidR="00A948C2" w:rsidRPr="00C42BF7">
        <w:rPr>
          <w:lang w:val="sq-AL"/>
        </w:rPr>
        <w:t>zotimin</w:t>
      </w:r>
      <w:proofErr w:type="spellEnd"/>
      <w:r w:rsidRPr="00C42BF7">
        <w:rPr>
          <w:lang w:val="sq-AL"/>
        </w:rPr>
        <w:t xml:space="preserve"> e saj t</w:t>
      </w:r>
      <w:r w:rsidR="00A948C2" w:rsidRPr="00C42BF7">
        <w:rPr>
          <w:lang w:val="sq-AL"/>
        </w:rPr>
        <w:t>ë</w:t>
      </w:r>
      <w:r w:rsidRPr="00C42BF7">
        <w:rPr>
          <w:lang w:val="sq-AL"/>
        </w:rPr>
        <w:t xml:space="preserve"> dh</w:t>
      </w:r>
      <w:r w:rsidR="00A948C2" w:rsidRPr="00C42BF7">
        <w:rPr>
          <w:lang w:val="sq-AL"/>
        </w:rPr>
        <w:t>ë</w:t>
      </w:r>
      <w:r w:rsidRPr="00C42BF7">
        <w:rPr>
          <w:lang w:val="sq-AL"/>
        </w:rPr>
        <w:t>n</w:t>
      </w:r>
      <w:r w:rsidR="00A948C2" w:rsidRPr="00C42BF7">
        <w:rPr>
          <w:lang w:val="sq-AL"/>
        </w:rPr>
        <w:t>ë</w:t>
      </w:r>
      <w:r w:rsidRPr="00C42BF7">
        <w:rPr>
          <w:lang w:val="sq-AL"/>
        </w:rPr>
        <w:t xml:space="preserve"> n</w:t>
      </w:r>
      <w:r w:rsidR="00A948C2" w:rsidRPr="00C42BF7">
        <w:rPr>
          <w:lang w:val="sq-AL"/>
        </w:rPr>
        <w:t>ë</w:t>
      </w:r>
      <w:r w:rsidRPr="00C42BF7">
        <w:rPr>
          <w:lang w:val="sq-AL"/>
        </w:rPr>
        <w:t xml:space="preserve"> PVPQ 2018 dhe në </w:t>
      </w:r>
      <w:r w:rsidRPr="00C42BF7">
        <w:rPr>
          <w:rFonts w:eastAsia="Calibri"/>
          <w:lang w:val="sq-AL"/>
        </w:rPr>
        <w:t>Programin e Punës së Qeverisë, për vitet 2017-2021</w:t>
      </w:r>
      <w:r w:rsidR="00A948C2" w:rsidRPr="00C42BF7">
        <w:rPr>
          <w:rFonts w:eastAsia="Calibri"/>
          <w:lang w:val="sq-AL"/>
        </w:rPr>
        <w:t>.</w:t>
      </w:r>
    </w:p>
    <w:p w:rsidR="004D6116" w:rsidRPr="00C42BF7" w:rsidRDefault="004D6116" w:rsidP="007E595A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sq-AL"/>
        </w:rPr>
      </w:pPr>
    </w:p>
    <w:p w:rsidR="004D6116" w:rsidRPr="00C42BF7" w:rsidRDefault="004D6116" w:rsidP="007E595A">
      <w:pPr>
        <w:autoSpaceDE w:val="0"/>
        <w:autoSpaceDN w:val="0"/>
        <w:adjustRightInd w:val="0"/>
        <w:spacing w:line="360" w:lineRule="auto"/>
        <w:jc w:val="both"/>
        <w:rPr>
          <w:b/>
          <w:lang w:val="sq-AL"/>
        </w:rPr>
      </w:pPr>
      <w:r w:rsidRPr="00C42BF7">
        <w:rPr>
          <w:b/>
          <w:lang w:val="sq-AL"/>
        </w:rPr>
        <w:t>Kapitulli II:</w:t>
      </w:r>
      <w:r w:rsidR="003F7129" w:rsidRPr="00C42BF7">
        <w:rPr>
          <w:b/>
          <w:lang w:val="sq-AL"/>
        </w:rPr>
        <w:t xml:space="preserve"> </w:t>
      </w:r>
      <w:r w:rsidR="00363DC9" w:rsidRPr="00C42BF7">
        <w:rPr>
          <w:b/>
          <w:lang w:val="sq-AL"/>
        </w:rPr>
        <w:t>Përshkrimi</w:t>
      </w:r>
      <w:r w:rsidRPr="00C42BF7">
        <w:rPr>
          <w:b/>
          <w:lang w:val="sq-AL"/>
        </w:rPr>
        <w:t xml:space="preserve"> dhe </w:t>
      </w:r>
      <w:proofErr w:type="spellStart"/>
      <w:r w:rsidR="009F7CD6" w:rsidRPr="00C42BF7">
        <w:rPr>
          <w:b/>
          <w:lang w:val="sq-AL"/>
        </w:rPr>
        <w:t>definimi</w:t>
      </w:r>
      <w:proofErr w:type="spellEnd"/>
      <w:r w:rsidR="00060290" w:rsidRPr="00C42BF7">
        <w:rPr>
          <w:b/>
          <w:lang w:val="sq-AL"/>
        </w:rPr>
        <w:t xml:space="preserve"> i </w:t>
      </w:r>
      <w:r w:rsidR="00363DC9" w:rsidRPr="00C42BF7">
        <w:rPr>
          <w:b/>
          <w:lang w:val="sq-AL"/>
        </w:rPr>
        <w:t>çështjes</w:t>
      </w:r>
    </w:p>
    <w:p w:rsidR="004D6116" w:rsidRPr="00C42BF7" w:rsidRDefault="004D6116" w:rsidP="007E595A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sq-AL"/>
        </w:rPr>
      </w:pPr>
    </w:p>
    <w:p w:rsidR="002D6DE4" w:rsidRPr="00C42BF7" w:rsidRDefault="00334276" w:rsidP="007E595A">
      <w:pPr>
        <w:autoSpaceDE w:val="0"/>
        <w:autoSpaceDN w:val="0"/>
        <w:adjustRightInd w:val="0"/>
        <w:spacing w:line="360" w:lineRule="auto"/>
        <w:jc w:val="both"/>
        <w:rPr>
          <w:i/>
          <w:lang w:val="sq-AL"/>
        </w:rPr>
      </w:pPr>
      <w:r w:rsidRPr="00C42BF7">
        <w:rPr>
          <w:i/>
          <w:lang w:val="sq-AL"/>
        </w:rPr>
        <w:t>Shpjegim</w:t>
      </w:r>
      <w:r w:rsidR="009F7CD6" w:rsidRPr="00C42BF7">
        <w:rPr>
          <w:i/>
          <w:lang w:val="sq-AL"/>
        </w:rPr>
        <w:t xml:space="preserve"> dhe </w:t>
      </w:r>
      <w:proofErr w:type="spellStart"/>
      <w:r w:rsidR="009F7CD6" w:rsidRPr="00C42BF7">
        <w:rPr>
          <w:i/>
          <w:lang w:val="sq-AL"/>
        </w:rPr>
        <w:t>definimi</w:t>
      </w:r>
      <w:proofErr w:type="spellEnd"/>
      <w:r w:rsidR="009F7CD6" w:rsidRPr="00C42BF7">
        <w:rPr>
          <w:i/>
          <w:lang w:val="sq-AL"/>
        </w:rPr>
        <w:t xml:space="preserve"> i problemit</w:t>
      </w:r>
    </w:p>
    <w:p w:rsidR="004626B9" w:rsidRPr="00C42BF7" w:rsidRDefault="004626B9" w:rsidP="007E595A">
      <w:pPr>
        <w:spacing w:line="360" w:lineRule="auto"/>
        <w:rPr>
          <w:lang w:val="sq-AL"/>
        </w:rPr>
      </w:pPr>
    </w:p>
    <w:p w:rsidR="00583E97" w:rsidRPr="00C42BF7" w:rsidRDefault="00DA008D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Aktualisht çështja e të drejtës për tu pajisur me letërnjoftim të shtetit të Kosovës është e rregulluar me Ligjin Nr. 05/L-015 për Letërnjoftim dhe me aktet nënligjore që burojnë nga ky ligj. Konkretisht këto akte normative përcaktojnë kushtet, procedurat dhe</w:t>
      </w:r>
      <w:r w:rsidR="003F7129" w:rsidRPr="00C42BF7">
        <w:rPr>
          <w:lang w:val="sq-AL"/>
        </w:rPr>
        <w:t xml:space="preserve"> organin kompetent për lëshimin</w:t>
      </w:r>
      <w:r w:rsidRPr="00C42BF7">
        <w:rPr>
          <w:lang w:val="sq-AL"/>
        </w:rPr>
        <w:t xml:space="preserve"> </w:t>
      </w:r>
      <w:r w:rsidR="003F7129" w:rsidRPr="00C42BF7">
        <w:rPr>
          <w:lang w:val="sq-AL"/>
        </w:rPr>
        <w:t xml:space="preserve">e letërnjoftimit </w:t>
      </w:r>
      <w:r w:rsidRPr="00C42BF7">
        <w:rPr>
          <w:lang w:val="sq-AL"/>
        </w:rPr>
        <w:t xml:space="preserve">dhe përdorimin </w:t>
      </w:r>
      <w:r w:rsidR="003F7129" w:rsidRPr="00C42BF7">
        <w:rPr>
          <w:lang w:val="sq-AL"/>
        </w:rPr>
        <w:t xml:space="preserve">e tij </w:t>
      </w:r>
      <w:r w:rsidRPr="00C42BF7">
        <w:rPr>
          <w:lang w:val="sq-AL"/>
        </w:rPr>
        <w:t xml:space="preserve">nga shtetasit e Republikës së Kosovës. </w:t>
      </w:r>
    </w:p>
    <w:p w:rsidR="00583E97" w:rsidRPr="00C42BF7" w:rsidRDefault="00583E97" w:rsidP="007E595A">
      <w:pPr>
        <w:spacing w:line="360" w:lineRule="auto"/>
        <w:jc w:val="both"/>
        <w:rPr>
          <w:lang w:val="sq-AL"/>
        </w:rPr>
      </w:pPr>
    </w:p>
    <w:p w:rsidR="00824A87" w:rsidRPr="00C42BF7" w:rsidRDefault="003F7129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Ligji</w:t>
      </w:r>
      <w:r w:rsidR="00DA008D" w:rsidRPr="00C42BF7">
        <w:rPr>
          <w:lang w:val="sq-AL"/>
        </w:rPr>
        <w:t xml:space="preserve"> </w:t>
      </w:r>
      <w:r w:rsidRPr="00C42BF7">
        <w:rPr>
          <w:lang w:val="sq-AL"/>
        </w:rPr>
        <w:t>aktual</w:t>
      </w:r>
      <w:r w:rsidR="00BE172D" w:rsidRPr="00C42BF7">
        <w:rPr>
          <w:lang w:val="sq-AL"/>
        </w:rPr>
        <w:t xml:space="preserve"> e obligon shte</w:t>
      </w:r>
      <w:r w:rsidRPr="00C42BF7">
        <w:rPr>
          <w:lang w:val="sq-AL"/>
        </w:rPr>
        <w:t>tasin e Republikës së Kosovës të</w:t>
      </w:r>
      <w:r w:rsidR="00BE172D" w:rsidRPr="00C42BF7">
        <w:rPr>
          <w:lang w:val="sq-AL"/>
        </w:rPr>
        <w:t xml:space="preserve"> pajiset më letërnjoftim që nga mosha 16 vjeçar</w:t>
      </w:r>
      <w:r w:rsidR="00B234BC" w:rsidRPr="00C42BF7">
        <w:rPr>
          <w:lang w:val="sq-AL"/>
        </w:rPr>
        <w:t>e</w:t>
      </w:r>
      <w:r w:rsidR="00BE172D" w:rsidRPr="00C42BF7">
        <w:rPr>
          <w:lang w:val="sq-AL"/>
        </w:rPr>
        <w:t xml:space="preserve">. </w:t>
      </w:r>
      <w:r w:rsidR="00583E97" w:rsidRPr="00C42BF7">
        <w:rPr>
          <w:lang w:val="sq-AL"/>
        </w:rPr>
        <w:t>Po</w:t>
      </w:r>
      <w:r w:rsidR="00162397" w:rsidRPr="00C42BF7">
        <w:rPr>
          <w:lang w:val="sq-AL"/>
        </w:rPr>
        <w:t>r</w:t>
      </w:r>
      <w:r w:rsidR="00583E97" w:rsidRPr="00C42BF7">
        <w:rPr>
          <w:lang w:val="sq-AL"/>
        </w:rPr>
        <w:t xml:space="preserve"> problemi qëndron në atë se </w:t>
      </w:r>
      <w:r w:rsidR="00BE172D" w:rsidRPr="00C42BF7">
        <w:rPr>
          <w:lang w:val="sq-AL"/>
        </w:rPr>
        <w:t>ky ligji nuk e rregullon të drejtë</w:t>
      </w:r>
      <w:r w:rsidRPr="00C42BF7">
        <w:rPr>
          <w:lang w:val="sq-AL"/>
        </w:rPr>
        <w:t>n</w:t>
      </w:r>
      <w:r w:rsidR="00BE172D" w:rsidRPr="00C42BF7">
        <w:rPr>
          <w:lang w:val="sq-AL"/>
        </w:rPr>
        <w:t xml:space="preserve"> </w:t>
      </w:r>
      <w:r w:rsidR="00583E97" w:rsidRPr="00C42BF7">
        <w:rPr>
          <w:lang w:val="sq-AL"/>
        </w:rPr>
        <w:t xml:space="preserve">e qytetarit </w:t>
      </w:r>
      <w:r w:rsidR="00BE172D" w:rsidRPr="00C42BF7">
        <w:rPr>
          <w:lang w:val="sq-AL"/>
        </w:rPr>
        <w:t>për t</w:t>
      </w:r>
      <w:r w:rsidRPr="00C42BF7">
        <w:rPr>
          <w:lang w:val="sq-AL"/>
        </w:rPr>
        <w:t>’</w:t>
      </w:r>
      <w:r w:rsidR="00BE172D" w:rsidRPr="00C42BF7">
        <w:rPr>
          <w:lang w:val="sq-AL"/>
        </w:rPr>
        <w:t>u pajisur me letërnjoftim të shtetit të Kosovës, që nga lindja e deri në moshën 16 vjeçare, çështje kjo e cila është nevojë e kohës dhe sigurisht ka edhe dobi të tjera</w:t>
      </w:r>
      <w:r w:rsidR="00583E97" w:rsidRPr="00C42BF7">
        <w:rPr>
          <w:lang w:val="sq-AL"/>
        </w:rPr>
        <w:t xml:space="preserve">, si për shtetin ashtu edhe për vet qytetarin. </w:t>
      </w:r>
      <w:proofErr w:type="spellStart"/>
      <w:r w:rsidR="00B234BC" w:rsidRPr="00C42BF7">
        <w:rPr>
          <w:lang w:val="sq-AL"/>
        </w:rPr>
        <w:t>Poashtu</w:t>
      </w:r>
      <w:proofErr w:type="spellEnd"/>
      <w:r w:rsidR="00B234BC" w:rsidRPr="00C42BF7">
        <w:rPr>
          <w:lang w:val="sq-AL"/>
        </w:rPr>
        <w:t>, duhet t</w:t>
      </w:r>
      <w:r w:rsidR="008F7C7C" w:rsidRPr="00C42BF7">
        <w:rPr>
          <w:lang w:val="sq-AL"/>
        </w:rPr>
        <w:t>ë</w:t>
      </w:r>
      <w:r w:rsidR="00B234BC" w:rsidRPr="00C42BF7">
        <w:rPr>
          <w:lang w:val="sq-AL"/>
        </w:rPr>
        <w:t xml:space="preserve"> theksohet se  nuk ka ndonj</w:t>
      </w:r>
      <w:r w:rsidR="008F7C7C" w:rsidRPr="00C42BF7">
        <w:rPr>
          <w:lang w:val="sq-AL"/>
        </w:rPr>
        <w:t>ë</w:t>
      </w:r>
      <w:r w:rsidR="00B234BC" w:rsidRPr="00C42BF7">
        <w:rPr>
          <w:lang w:val="sq-AL"/>
        </w:rPr>
        <w:t xml:space="preserve"> akt normativ i cili aktualisht ose edhe n</w:t>
      </w:r>
      <w:r w:rsidR="008F7C7C" w:rsidRPr="00C42BF7">
        <w:rPr>
          <w:lang w:val="sq-AL"/>
        </w:rPr>
        <w:t>ë</w:t>
      </w:r>
      <w:r w:rsidR="00B234BC" w:rsidRPr="00C42BF7">
        <w:rPr>
          <w:lang w:val="sq-AL"/>
        </w:rPr>
        <w:t xml:space="preserve"> t</w:t>
      </w:r>
      <w:r w:rsidR="008F7C7C" w:rsidRPr="00C42BF7">
        <w:rPr>
          <w:lang w:val="sq-AL"/>
        </w:rPr>
        <w:t>ë</w:t>
      </w:r>
      <w:r w:rsidR="00B234BC" w:rsidRPr="00C42BF7">
        <w:rPr>
          <w:lang w:val="sq-AL"/>
        </w:rPr>
        <w:t xml:space="preserve"> kaluar</w:t>
      </w:r>
      <w:r w:rsidR="008F7C7C" w:rsidRPr="00C42BF7">
        <w:rPr>
          <w:lang w:val="sq-AL"/>
        </w:rPr>
        <w:t>ë</w:t>
      </w:r>
      <w:r w:rsidR="00B234BC" w:rsidRPr="00C42BF7">
        <w:rPr>
          <w:lang w:val="sq-AL"/>
        </w:rPr>
        <w:t>n e ka rregulluar k</w:t>
      </w:r>
      <w:r w:rsidR="008F7C7C" w:rsidRPr="00C42BF7">
        <w:rPr>
          <w:lang w:val="sq-AL"/>
        </w:rPr>
        <w:t>ë</w:t>
      </w:r>
      <w:r w:rsidR="00B234BC" w:rsidRPr="00C42BF7">
        <w:rPr>
          <w:lang w:val="sq-AL"/>
        </w:rPr>
        <w:t>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</w:t>
      </w:r>
      <w:r w:rsidR="008F7C7C" w:rsidRPr="00C42BF7">
        <w:rPr>
          <w:lang w:val="sq-AL"/>
        </w:rPr>
        <w:t>çë</w:t>
      </w:r>
      <w:r w:rsidR="00B234BC" w:rsidRPr="00C42BF7">
        <w:rPr>
          <w:lang w:val="sq-AL"/>
        </w:rPr>
        <w:t xml:space="preserve">shtje. </w:t>
      </w:r>
    </w:p>
    <w:p w:rsidR="00CE0DE5" w:rsidRPr="00C42BF7" w:rsidRDefault="00B234BC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Sigurisht q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pamund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sia e pajisjes me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rnjoftim p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 k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kategori e ka obliguar k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kategori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qytetar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ve q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pajisen me pasaporta p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 udh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tuar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ato vende ku 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sht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e mundshme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udh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tohet vet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m me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rnjoftim, gj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q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ndikon edhe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rritjen e   kostos financiare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pajisjes me pasaport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. </w:t>
      </w:r>
      <w:r w:rsidR="008A6EC5" w:rsidRPr="00C42BF7">
        <w:rPr>
          <w:lang w:val="sq-AL"/>
        </w:rPr>
        <w:t xml:space="preserve">Gjithashtu, edhe </w:t>
      </w:r>
      <w:r w:rsidR="008F7C7C" w:rsidRPr="00C42BF7">
        <w:rPr>
          <w:lang w:val="sq-AL"/>
        </w:rPr>
        <w:t>çë</w:t>
      </w:r>
      <w:r w:rsidR="008A6EC5" w:rsidRPr="00C42BF7">
        <w:rPr>
          <w:lang w:val="sq-AL"/>
        </w:rPr>
        <w:t>shtja e gjobave e cila po paraqet v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shtir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si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zbatimit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ligjit aktual sidomos te dispozitat q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parashohin sanksionet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cilat nuk jan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harmonizuara me ligjin e ri p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r kund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rvajtje, ligj i cili k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rkon q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lidhur me sanksionet </w:t>
      </w:r>
      <w:proofErr w:type="spellStart"/>
      <w:r w:rsidR="008A6EC5" w:rsidRPr="00C42BF7">
        <w:rPr>
          <w:lang w:val="sq-AL"/>
        </w:rPr>
        <w:t>kund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rvajt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se</w:t>
      </w:r>
      <w:proofErr w:type="spellEnd"/>
      <w:r w:rsidR="008A6EC5" w:rsidRPr="00C42BF7">
        <w:rPr>
          <w:lang w:val="sq-AL"/>
        </w:rPr>
        <w:t xml:space="preserve">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b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het harmonizimi i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gjitha dispozitave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ligjeve tjera me k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ligj. Kjo v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shtir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si e zbatimit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ligjit aktual ka filluar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paraqitet nga momenti i hyrjes n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fuqi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ligjit t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 ri p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>r kund</w:t>
      </w:r>
      <w:r w:rsidR="008F7C7C" w:rsidRPr="00C42BF7">
        <w:rPr>
          <w:lang w:val="sq-AL"/>
        </w:rPr>
        <w:t>ë</w:t>
      </w:r>
      <w:r w:rsidR="008A6EC5" w:rsidRPr="00C42BF7">
        <w:rPr>
          <w:lang w:val="sq-AL"/>
        </w:rPr>
        <w:t xml:space="preserve">rvajtje. </w:t>
      </w:r>
    </w:p>
    <w:p w:rsidR="00583E97" w:rsidRPr="00C42BF7" w:rsidRDefault="00583E97" w:rsidP="007E595A">
      <w:pPr>
        <w:spacing w:line="360" w:lineRule="auto"/>
        <w:jc w:val="both"/>
        <w:rPr>
          <w:lang w:val="sq-AL"/>
        </w:rPr>
      </w:pPr>
    </w:p>
    <w:p w:rsidR="002D6DE4" w:rsidRPr="00C42BF7" w:rsidRDefault="00334276" w:rsidP="007E595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  <w:lang w:val="sq-AL"/>
        </w:rPr>
      </w:pPr>
      <w:r w:rsidRPr="00C42BF7">
        <w:rPr>
          <w:i/>
          <w:lang w:val="sq-AL"/>
        </w:rPr>
        <w:t>Politika aktuale</w:t>
      </w:r>
    </w:p>
    <w:p w:rsidR="004D6116" w:rsidRPr="00C42BF7" w:rsidRDefault="002716AF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Lëshimi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 i </w:t>
      </w:r>
      <w:r w:rsidRPr="00C42BF7">
        <w:rPr>
          <w:rFonts w:ascii="Times New Roman" w:hAnsi="Times New Roman"/>
          <w:color w:val="auto"/>
          <w:sz w:val="24"/>
          <w:szCs w:val="24"/>
        </w:rPr>
        <w:t>letërnjoftimit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aktualisht rregullohet me</w:t>
      </w:r>
      <w:r w:rsidR="008C4EF7" w:rsidRPr="00C42BF7">
        <w:rPr>
          <w:rFonts w:ascii="Times New Roman" w:hAnsi="Times New Roman"/>
          <w:color w:val="auto"/>
          <w:sz w:val="24"/>
          <w:szCs w:val="24"/>
        </w:rPr>
        <w:t xml:space="preserve"> Ligjin Nr.05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>/L-0</w:t>
      </w:r>
      <w:r w:rsidR="008C4EF7" w:rsidRPr="00C42BF7">
        <w:rPr>
          <w:rFonts w:ascii="Times New Roman" w:hAnsi="Times New Roman"/>
          <w:color w:val="auto"/>
          <w:sz w:val="24"/>
          <w:szCs w:val="24"/>
        </w:rPr>
        <w:t>15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BF7">
        <w:rPr>
          <w:rFonts w:ascii="Times New Roman" w:hAnsi="Times New Roman"/>
          <w:color w:val="auto"/>
          <w:sz w:val="24"/>
          <w:szCs w:val="24"/>
        </w:rPr>
        <w:t>për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BF7">
        <w:rPr>
          <w:rFonts w:ascii="Times New Roman" w:hAnsi="Times New Roman"/>
          <w:color w:val="auto"/>
          <w:sz w:val="24"/>
          <w:szCs w:val="24"/>
        </w:rPr>
        <w:t>Letërnjoftim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dhe me 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>aktet nënligjore përkatëse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4D6116" w:rsidRPr="00C42BF7" w:rsidRDefault="004D6116" w:rsidP="007E595A">
      <w:pPr>
        <w:tabs>
          <w:tab w:val="left" w:pos="555"/>
        </w:tabs>
        <w:autoSpaceDE w:val="0"/>
        <w:autoSpaceDN w:val="0"/>
        <w:adjustRightInd w:val="0"/>
        <w:spacing w:line="360" w:lineRule="auto"/>
        <w:jc w:val="both"/>
        <w:rPr>
          <w:i/>
          <w:lang w:val="sq-AL"/>
        </w:rPr>
      </w:pPr>
      <w:r w:rsidRPr="00C42BF7">
        <w:rPr>
          <w:i/>
          <w:lang w:val="sq-AL"/>
        </w:rPr>
        <w:t xml:space="preserve">Ligjet dhe aktet </w:t>
      </w:r>
      <w:r w:rsidR="002C4E57" w:rsidRPr="00C42BF7">
        <w:rPr>
          <w:i/>
          <w:lang w:val="sq-AL"/>
        </w:rPr>
        <w:t>nënligjor</w:t>
      </w:r>
      <w:r w:rsidR="00C26EE2" w:rsidRPr="00C42BF7">
        <w:rPr>
          <w:i/>
          <w:lang w:val="sq-AL"/>
        </w:rPr>
        <w:t>e</w:t>
      </w:r>
    </w:p>
    <w:p w:rsidR="004D6116" w:rsidRPr="00C42BF7" w:rsidRDefault="004D6116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lastRenderedPageBreak/>
        <w:t xml:space="preserve">MPB-ja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është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përgjegjëse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për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hartimin dhe zbatimin e politikave</w:t>
      </w:r>
      <w:r w:rsidR="00BC0CF7" w:rsidRPr="00C42BF7">
        <w:rPr>
          <w:rFonts w:ascii="Times New Roman" w:hAnsi="Times New Roman"/>
          <w:color w:val="auto"/>
          <w:sz w:val="24"/>
          <w:szCs w:val="24"/>
        </w:rPr>
        <w:t xml:space="preserve"> dhe legjislacionit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nga fusha e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lëshimit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AC45C4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letërnjoftimeve</w:t>
      </w:r>
      <w:r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4D6116" w:rsidRPr="00C42BF7" w:rsidRDefault="00F376DF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Aktualisht Ligji nr.</w:t>
      </w:r>
      <w:r w:rsidR="005A6B41" w:rsidRPr="00C42BF7">
        <w:rPr>
          <w:rFonts w:ascii="Times New Roman" w:hAnsi="Times New Roman"/>
          <w:color w:val="auto"/>
          <w:sz w:val="24"/>
          <w:szCs w:val="24"/>
        </w:rPr>
        <w:t xml:space="preserve"> 0</w:t>
      </w:r>
      <w:r w:rsidR="00E4108F" w:rsidRPr="00C42BF7">
        <w:rPr>
          <w:rFonts w:ascii="Times New Roman" w:hAnsi="Times New Roman"/>
          <w:color w:val="auto"/>
          <w:sz w:val="24"/>
          <w:szCs w:val="24"/>
        </w:rPr>
        <w:t>5/L</w:t>
      </w:r>
      <w:r w:rsidR="005A6B41" w:rsidRPr="00C42BF7">
        <w:rPr>
          <w:rFonts w:ascii="Times New Roman" w:hAnsi="Times New Roman"/>
          <w:color w:val="auto"/>
          <w:sz w:val="24"/>
          <w:szCs w:val="24"/>
        </w:rPr>
        <w:t>-0</w:t>
      </w:r>
      <w:r w:rsidR="00E4108F" w:rsidRPr="00C42BF7">
        <w:rPr>
          <w:rFonts w:ascii="Times New Roman" w:hAnsi="Times New Roman"/>
          <w:color w:val="auto"/>
          <w:sz w:val="24"/>
          <w:szCs w:val="24"/>
        </w:rPr>
        <w:t>15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4A14" w:rsidRPr="00C42BF7">
        <w:rPr>
          <w:rFonts w:ascii="Times New Roman" w:hAnsi="Times New Roman"/>
          <w:color w:val="auto"/>
          <w:sz w:val="24"/>
          <w:szCs w:val="24"/>
        </w:rPr>
        <w:t xml:space="preserve">për </w:t>
      </w:r>
      <w:r w:rsidR="001D5906" w:rsidRPr="00C42BF7">
        <w:rPr>
          <w:rFonts w:ascii="Times New Roman" w:hAnsi="Times New Roman"/>
          <w:color w:val="auto"/>
          <w:sz w:val="24"/>
          <w:szCs w:val="24"/>
        </w:rPr>
        <w:t>L</w:t>
      </w:r>
      <w:r w:rsidR="002A4A14" w:rsidRPr="00C42BF7">
        <w:rPr>
          <w:rFonts w:ascii="Times New Roman" w:hAnsi="Times New Roman"/>
          <w:color w:val="auto"/>
          <w:sz w:val="24"/>
          <w:szCs w:val="24"/>
        </w:rPr>
        <w:t xml:space="preserve">etërnjoftimin </w:t>
      </w:r>
      <w:r w:rsidRPr="00C42BF7">
        <w:rPr>
          <w:rFonts w:ascii="Times New Roman" w:hAnsi="Times New Roman"/>
          <w:color w:val="auto"/>
          <w:sz w:val="24"/>
          <w:szCs w:val="24"/>
        </w:rPr>
        <w:t>i</w:t>
      </w:r>
      <w:r w:rsidR="00C26EE2" w:rsidRPr="00C42BF7">
        <w:rPr>
          <w:rFonts w:ascii="Times New Roman" w:hAnsi="Times New Roman"/>
          <w:color w:val="auto"/>
          <w:sz w:val="24"/>
          <w:szCs w:val="24"/>
        </w:rPr>
        <w:t xml:space="preserve"> publikuar në Gazetën Zyrtare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nr. 36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BF7">
        <w:rPr>
          <w:rFonts w:ascii="Times New Roman" w:hAnsi="Times New Roman"/>
          <w:color w:val="auto"/>
          <w:sz w:val="24"/>
          <w:szCs w:val="24"/>
        </w:rPr>
        <w:t>me datën 21.12.2015 dhe aktet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nligjore q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burojn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nga ky ligj e rregullojn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çë</w:t>
      </w:r>
      <w:r w:rsidRPr="00C42BF7">
        <w:rPr>
          <w:rFonts w:ascii="Times New Roman" w:hAnsi="Times New Roman"/>
          <w:color w:val="auto"/>
          <w:sz w:val="24"/>
          <w:szCs w:val="24"/>
        </w:rPr>
        <w:t>shtjen e l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shimit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rnjoftim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t e Kosov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 nga mosha 16 vje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are. </w:t>
      </w:r>
    </w:p>
    <w:p w:rsidR="00F376DF" w:rsidRPr="00C42BF7" w:rsidRDefault="004D6116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Ligji Nr. 0</w:t>
      </w:r>
      <w:r w:rsidR="00E4108F" w:rsidRPr="00C42BF7">
        <w:rPr>
          <w:rFonts w:ascii="Times New Roman" w:hAnsi="Times New Roman"/>
          <w:color w:val="auto"/>
          <w:sz w:val="24"/>
          <w:szCs w:val="24"/>
        </w:rPr>
        <w:t>5</w:t>
      </w:r>
      <w:r w:rsidRPr="00C42BF7">
        <w:rPr>
          <w:rFonts w:ascii="Times New Roman" w:hAnsi="Times New Roman"/>
          <w:color w:val="auto"/>
          <w:sz w:val="24"/>
          <w:szCs w:val="24"/>
        </w:rPr>
        <w:t>/L-0</w:t>
      </w:r>
      <w:r w:rsidR="00E4108F" w:rsidRPr="00C42BF7">
        <w:rPr>
          <w:rFonts w:ascii="Times New Roman" w:hAnsi="Times New Roman"/>
          <w:color w:val="auto"/>
          <w:sz w:val="24"/>
          <w:szCs w:val="24"/>
        </w:rPr>
        <w:t>15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për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Letërnjoftimin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përcakton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rregullat ligjore t</w:t>
      </w:r>
      <w:r w:rsidR="002A4A14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dhënies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2A4A14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letërnjoftimit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kompetencën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BF7">
        <w:rPr>
          <w:rFonts w:ascii="Times New Roman" w:hAnsi="Times New Roman"/>
          <w:color w:val="auto"/>
          <w:sz w:val="24"/>
          <w:szCs w:val="24"/>
        </w:rPr>
        <w:t>si dhe procedur</w:t>
      </w:r>
      <w:r w:rsidR="00783876" w:rsidRPr="00C42BF7">
        <w:rPr>
          <w:rFonts w:ascii="Times New Roman" w:hAnsi="Times New Roman"/>
          <w:color w:val="auto"/>
          <w:sz w:val="24"/>
          <w:szCs w:val="24"/>
        </w:rPr>
        <w:t>ën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e </w:t>
      </w:r>
      <w:r w:rsidR="00C26EE2" w:rsidRPr="00C42BF7">
        <w:rPr>
          <w:rFonts w:ascii="Times New Roman" w:hAnsi="Times New Roman"/>
          <w:color w:val="auto"/>
          <w:sz w:val="24"/>
          <w:szCs w:val="24"/>
        </w:rPr>
        <w:t>lëshimit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108F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783876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letërnjoftimit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për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shtetasit e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Republikës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287B2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color w:val="auto"/>
          <w:sz w:val="24"/>
          <w:szCs w:val="24"/>
        </w:rPr>
        <w:t>Kosovës</w:t>
      </w:r>
      <w:r w:rsidR="006D1B36"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4D6116" w:rsidRPr="00C42BF7" w:rsidRDefault="004D6116" w:rsidP="007E595A">
      <w:pPr>
        <w:tabs>
          <w:tab w:val="left" w:pos="555"/>
        </w:tabs>
        <w:autoSpaceDE w:val="0"/>
        <w:autoSpaceDN w:val="0"/>
        <w:adjustRightInd w:val="0"/>
        <w:spacing w:line="360" w:lineRule="auto"/>
        <w:jc w:val="both"/>
        <w:rPr>
          <w:i/>
          <w:lang w:val="sq-AL"/>
        </w:rPr>
      </w:pPr>
      <w:r w:rsidRPr="00C42BF7">
        <w:rPr>
          <w:i/>
          <w:lang w:val="sq-AL"/>
        </w:rPr>
        <w:t xml:space="preserve">Aktet </w:t>
      </w:r>
      <w:r w:rsidR="002C4E57" w:rsidRPr="00C42BF7">
        <w:rPr>
          <w:i/>
          <w:lang w:val="sq-AL"/>
        </w:rPr>
        <w:t>nënligjore</w:t>
      </w:r>
      <w:r w:rsidR="003F7129" w:rsidRPr="00C42BF7">
        <w:rPr>
          <w:i/>
          <w:lang w:val="sq-AL"/>
        </w:rPr>
        <w:t xml:space="preserve"> </w:t>
      </w:r>
      <w:r w:rsidR="002C4E57" w:rsidRPr="00C42BF7">
        <w:rPr>
          <w:i/>
          <w:lang w:val="sq-AL"/>
        </w:rPr>
        <w:t>për</w:t>
      </w:r>
      <w:r w:rsidRPr="00C42BF7">
        <w:rPr>
          <w:i/>
          <w:lang w:val="sq-AL"/>
        </w:rPr>
        <w:t xml:space="preserve"> zbatimin e Ligjit Nr. 0</w:t>
      </w:r>
      <w:r w:rsidR="00E4108F" w:rsidRPr="00C42BF7">
        <w:rPr>
          <w:i/>
          <w:lang w:val="sq-AL"/>
        </w:rPr>
        <w:t>5</w:t>
      </w:r>
      <w:r w:rsidRPr="00C42BF7">
        <w:rPr>
          <w:i/>
          <w:lang w:val="sq-AL"/>
        </w:rPr>
        <w:t>/L-0</w:t>
      </w:r>
      <w:r w:rsidR="00E4108F" w:rsidRPr="00C42BF7">
        <w:rPr>
          <w:i/>
          <w:lang w:val="sq-AL"/>
        </w:rPr>
        <w:t>15</w:t>
      </w:r>
      <w:r w:rsidR="003F7129" w:rsidRPr="00C42BF7">
        <w:rPr>
          <w:i/>
          <w:lang w:val="sq-AL"/>
        </w:rPr>
        <w:t xml:space="preserve"> </w:t>
      </w:r>
      <w:r w:rsidR="002C4E57" w:rsidRPr="00C42BF7">
        <w:rPr>
          <w:i/>
          <w:lang w:val="sq-AL"/>
        </w:rPr>
        <w:t>për</w:t>
      </w:r>
      <w:r w:rsidR="003F7129" w:rsidRPr="00C42BF7">
        <w:rPr>
          <w:i/>
          <w:lang w:val="sq-AL"/>
        </w:rPr>
        <w:t xml:space="preserve"> </w:t>
      </w:r>
      <w:r w:rsidR="002C4E57" w:rsidRPr="00C42BF7">
        <w:rPr>
          <w:i/>
          <w:lang w:val="sq-AL"/>
        </w:rPr>
        <w:t>Letërnjoftim</w:t>
      </w:r>
      <w:r w:rsidR="00D36CB2" w:rsidRPr="00C42BF7">
        <w:rPr>
          <w:i/>
          <w:lang w:val="sq-AL"/>
        </w:rPr>
        <w:t>e:</w:t>
      </w:r>
    </w:p>
    <w:p w:rsidR="00A25AFE" w:rsidRPr="00C42BF7" w:rsidRDefault="002A4A14" w:rsidP="007E595A">
      <w:pPr>
        <w:pStyle w:val="koncept"/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1</w:t>
      </w:r>
      <w:r w:rsidR="009C659B" w:rsidRPr="00C42BF7">
        <w:rPr>
          <w:rFonts w:ascii="Times New Roman" w:hAnsi="Times New Roman"/>
          <w:color w:val="auto"/>
          <w:sz w:val="24"/>
          <w:szCs w:val="24"/>
        </w:rPr>
        <w:t>.</w:t>
      </w:r>
      <w:r w:rsidR="002C4E57" w:rsidRPr="00C42BF7">
        <w:rPr>
          <w:rFonts w:ascii="Times New Roman" w:hAnsi="Times New Roman"/>
          <w:b/>
          <w:color w:val="auto"/>
          <w:sz w:val="24"/>
          <w:szCs w:val="24"/>
        </w:rPr>
        <w:t>Udhëzimi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Administrativ Nr. </w:t>
      </w:r>
      <w:r w:rsidR="00F841EC" w:rsidRPr="00C42BF7">
        <w:rPr>
          <w:rFonts w:ascii="Times New Roman" w:hAnsi="Times New Roman"/>
          <w:b/>
          <w:color w:val="auto"/>
          <w:sz w:val="24"/>
          <w:szCs w:val="24"/>
        </w:rPr>
        <w:t>1</w:t>
      </w:r>
      <w:r w:rsidR="003656F5" w:rsidRPr="00C42BF7">
        <w:rPr>
          <w:rFonts w:ascii="Times New Roman" w:hAnsi="Times New Roman"/>
          <w:b/>
          <w:color w:val="auto"/>
          <w:sz w:val="24"/>
          <w:szCs w:val="24"/>
        </w:rPr>
        <w:t>3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>/20</w:t>
      </w:r>
      <w:r w:rsidR="00F841EC" w:rsidRPr="00C42BF7">
        <w:rPr>
          <w:rFonts w:ascii="Times New Roman" w:hAnsi="Times New Roman"/>
          <w:b/>
          <w:color w:val="auto"/>
          <w:sz w:val="24"/>
          <w:szCs w:val="24"/>
        </w:rPr>
        <w:t>16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b/>
          <w:color w:val="auto"/>
          <w:sz w:val="24"/>
          <w:szCs w:val="24"/>
        </w:rPr>
        <w:t>për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42BF7">
        <w:rPr>
          <w:rFonts w:ascii="Times New Roman" w:hAnsi="Times New Roman"/>
          <w:b/>
          <w:color w:val="auto"/>
          <w:sz w:val="24"/>
          <w:szCs w:val="24"/>
        </w:rPr>
        <w:t>P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ajisje me </w:t>
      </w:r>
      <w:r w:rsidRPr="00C42BF7">
        <w:rPr>
          <w:rFonts w:ascii="Times New Roman" w:hAnsi="Times New Roman"/>
          <w:b/>
          <w:color w:val="auto"/>
          <w:sz w:val="24"/>
          <w:szCs w:val="24"/>
        </w:rPr>
        <w:t>L</w:t>
      </w:r>
      <w:r w:rsidR="002C4E57" w:rsidRPr="00C42BF7">
        <w:rPr>
          <w:rFonts w:ascii="Times New Roman" w:hAnsi="Times New Roman"/>
          <w:b/>
          <w:color w:val="auto"/>
          <w:sz w:val="24"/>
          <w:szCs w:val="24"/>
        </w:rPr>
        <w:t>etërnjoftim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t</w:t>
      </w:r>
      <w:r w:rsidR="00415EF2" w:rsidRPr="00C42BF7">
        <w:rPr>
          <w:rFonts w:ascii="Times New Roman" w:hAnsi="Times New Roman"/>
          <w:b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b/>
          <w:color w:val="auto"/>
          <w:sz w:val="24"/>
          <w:szCs w:val="24"/>
        </w:rPr>
        <w:t>Republikës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s</w:t>
      </w:r>
      <w:r w:rsidRPr="00C42BF7">
        <w:rPr>
          <w:rFonts w:ascii="Times New Roman" w:hAnsi="Times New Roman"/>
          <w:b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b/>
          <w:color w:val="auto"/>
          <w:sz w:val="24"/>
          <w:szCs w:val="24"/>
        </w:rPr>
        <w:t>Kosovës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me </w:t>
      </w:r>
      <w:r w:rsidRPr="00C42BF7">
        <w:rPr>
          <w:rFonts w:ascii="Times New Roman" w:hAnsi="Times New Roman"/>
          <w:b/>
          <w:color w:val="auto"/>
          <w:sz w:val="24"/>
          <w:szCs w:val="24"/>
        </w:rPr>
        <w:t>P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>rocedur</w:t>
      </w:r>
      <w:r w:rsidR="003E27C3" w:rsidRPr="00C42BF7">
        <w:rPr>
          <w:rFonts w:ascii="Times New Roman" w:hAnsi="Times New Roman"/>
          <w:b/>
          <w:color w:val="auto"/>
          <w:sz w:val="24"/>
          <w:szCs w:val="24"/>
        </w:rPr>
        <w:t>ë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t</w:t>
      </w:r>
      <w:r w:rsidRPr="00C42BF7">
        <w:rPr>
          <w:rFonts w:ascii="Times New Roman" w:hAnsi="Times New Roman"/>
          <w:b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4E57" w:rsidRPr="00C42BF7">
        <w:rPr>
          <w:rFonts w:ascii="Times New Roman" w:hAnsi="Times New Roman"/>
          <w:b/>
          <w:color w:val="auto"/>
          <w:sz w:val="24"/>
          <w:szCs w:val="24"/>
        </w:rPr>
        <w:t>përshpejtuar</w:t>
      </w:r>
      <w:r w:rsidR="009C4AFA" w:rsidRPr="00C42BF7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Qëllimi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 i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këtij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Udhëzimi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Administrativ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është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përcaktimi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 i 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>procedurave t</w:t>
      </w:r>
      <w:r w:rsidR="00415EF2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përshpejtuara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për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pajisje me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letërnjoftim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415EF2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Republikës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415EF2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Kosovës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CD6D84" w:rsidRPr="00C42BF7" w:rsidRDefault="00A25AFE" w:rsidP="007E595A">
      <w:pPr>
        <w:pStyle w:val="koncept"/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b/>
          <w:color w:val="auto"/>
          <w:sz w:val="24"/>
          <w:szCs w:val="24"/>
        </w:rPr>
        <w:t>2</w:t>
      </w:r>
      <w:r w:rsidR="00CD6D84" w:rsidRPr="00C42BF7">
        <w:rPr>
          <w:rFonts w:ascii="Times New Roman" w:hAnsi="Times New Roman"/>
          <w:b/>
          <w:color w:val="auto"/>
          <w:sz w:val="24"/>
          <w:szCs w:val="24"/>
        </w:rPr>
        <w:t xml:space="preserve">. Udhëzimi Administrativ Nr. 17/2016 për Procedurat e Pajisjes me Letërnjoftim: </w:t>
      </w:r>
      <w:r w:rsidR="00CD6D84" w:rsidRPr="00C42BF7">
        <w:rPr>
          <w:rFonts w:ascii="Times New Roman" w:hAnsi="Times New Roman"/>
          <w:color w:val="auto"/>
          <w:sz w:val="24"/>
          <w:szCs w:val="24"/>
        </w:rPr>
        <w:t>Qëllimi i këtij udhëzimi është përcaktimi i procedurave të aplikimit për letërnjoftim për herë të parë, letërnjoftim të humbur/dëmtuar, ndërrimin e të dhënave dhe ripërtëritjen e të dhënave.</w:t>
      </w:r>
    </w:p>
    <w:p w:rsidR="00270800" w:rsidRPr="00C42BF7" w:rsidRDefault="00A25AFE" w:rsidP="009C4AFA">
      <w:pPr>
        <w:pStyle w:val="koncept"/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4841DB" w:rsidRPr="00C42BF7">
        <w:rPr>
          <w:rFonts w:ascii="Times New Roman" w:hAnsi="Times New Roman"/>
          <w:b/>
          <w:color w:val="auto"/>
          <w:sz w:val="24"/>
          <w:szCs w:val="24"/>
        </w:rPr>
        <w:t>Udhëzimi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Administrativ Nr. 1</w:t>
      </w:r>
      <w:r w:rsidR="00CD6D84" w:rsidRPr="00C42BF7">
        <w:rPr>
          <w:rFonts w:ascii="Times New Roman" w:hAnsi="Times New Roman"/>
          <w:b/>
          <w:color w:val="auto"/>
          <w:sz w:val="24"/>
          <w:szCs w:val="24"/>
        </w:rPr>
        <w:t>8/2016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b/>
          <w:color w:val="auto"/>
          <w:sz w:val="24"/>
          <w:szCs w:val="24"/>
        </w:rPr>
        <w:t>për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46DA9" w:rsidRPr="00C42BF7">
        <w:rPr>
          <w:rFonts w:ascii="Times New Roman" w:hAnsi="Times New Roman"/>
          <w:b/>
          <w:color w:val="auto"/>
          <w:sz w:val="24"/>
          <w:szCs w:val="24"/>
        </w:rPr>
        <w:t>P</w:t>
      </w:r>
      <w:r w:rsidR="004841DB" w:rsidRPr="00C42BF7">
        <w:rPr>
          <w:rFonts w:ascii="Times New Roman" w:hAnsi="Times New Roman"/>
          <w:b/>
          <w:color w:val="auto"/>
          <w:sz w:val="24"/>
          <w:szCs w:val="24"/>
        </w:rPr>
        <w:t>ërcaktimin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e </w:t>
      </w:r>
      <w:r w:rsidR="00946DA9" w:rsidRPr="00C42BF7">
        <w:rPr>
          <w:rFonts w:ascii="Times New Roman" w:hAnsi="Times New Roman"/>
          <w:b/>
          <w:color w:val="auto"/>
          <w:sz w:val="24"/>
          <w:szCs w:val="24"/>
        </w:rPr>
        <w:t>F</w:t>
      </w:r>
      <w:r w:rsidR="004841DB" w:rsidRPr="00C42BF7">
        <w:rPr>
          <w:rFonts w:ascii="Times New Roman" w:hAnsi="Times New Roman"/>
          <w:b/>
          <w:color w:val="auto"/>
          <w:sz w:val="24"/>
          <w:szCs w:val="24"/>
        </w:rPr>
        <w:t>ormës</w:t>
      </w:r>
      <w:r w:rsidR="00CD6D84" w:rsidRPr="00C42BF7">
        <w:rPr>
          <w:rFonts w:ascii="Times New Roman" w:hAnsi="Times New Roman"/>
          <w:b/>
          <w:color w:val="auto"/>
          <w:sz w:val="24"/>
          <w:szCs w:val="24"/>
        </w:rPr>
        <w:t>, P</w:t>
      </w:r>
      <w:r w:rsidR="008F7C7C" w:rsidRPr="00C42BF7">
        <w:rPr>
          <w:rFonts w:ascii="Times New Roman" w:hAnsi="Times New Roman"/>
          <w:b/>
          <w:color w:val="auto"/>
          <w:sz w:val="24"/>
          <w:szCs w:val="24"/>
        </w:rPr>
        <w:t>ë</w:t>
      </w:r>
      <w:r w:rsidR="00CD6D84" w:rsidRPr="00C42BF7">
        <w:rPr>
          <w:rFonts w:ascii="Times New Roman" w:hAnsi="Times New Roman"/>
          <w:b/>
          <w:color w:val="auto"/>
          <w:sz w:val="24"/>
          <w:szCs w:val="24"/>
        </w:rPr>
        <w:t>rmbajtjes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dhe </w:t>
      </w:r>
      <w:r w:rsidR="00946DA9" w:rsidRPr="00C42BF7">
        <w:rPr>
          <w:rFonts w:ascii="Times New Roman" w:hAnsi="Times New Roman"/>
          <w:b/>
          <w:color w:val="auto"/>
          <w:sz w:val="24"/>
          <w:szCs w:val="24"/>
        </w:rPr>
        <w:t>M</w:t>
      </w:r>
      <w:r w:rsidR="004841DB" w:rsidRPr="00C42BF7">
        <w:rPr>
          <w:rFonts w:ascii="Times New Roman" w:hAnsi="Times New Roman"/>
          <w:b/>
          <w:color w:val="auto"/>
          <w:sz w:val="24"/>
          <w:szCs w:val="24"/>
        </w:rPr>
        <w:t>ënyrës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 xml:space="preserve"> s</w:t>
      </w:r>
      <w:r w:rsidR="00946DA9" w:rsidRPr="00C42BF7">
        <w:rPr>
          <w:rFonts w:ascii="Times New Roman" w:hAnsi="Times New Roman"/>
          <w:b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46DA9" w:rsidRPr="00C42BF7">
        <w:rPr>
          <w:rFonts w:ascii="Times New Roman" w:hAnsi="Times New Roman"/>
          <w:b/>
          <w:color w:val="auto"/>
          <w:sz w:val="24"/>
          <w:szCs w:val="24"/>
        </w:rPr>
        <w:t>P</w:t>
      </w:r>
      <w:r w:rsidR="004D6116" w:rsidRPr="00C42BF7">
        <w:rPr>
          <w:rFonts w:ascii="Times New Roman" w:hAnsi="Times New Roman"/>
          <w:b/>
          <w:color w:val="auto"/>
          <w:sz w:val="24"/>
          <w:szCs w:val="24"/>
        </w:rPr>
        <w:t>unimit t</w:t>
      </w:r>
      <w:r w:rsidR="00946DA9" w:rsidRPr="00C42BF7">
        <w:rPr>
          <w:rFonts w:ascii="Times New Roman" w:hAnsi="Times New Roman"/>
          <w:b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46DA9" w:rsidRPr="00C42BF7">
        <w:rPr>
          <w:rFonts w:ascii="Times New Roman" w:hAnsi="Times New Roman"/>
          <w:b/>
          <w:color w:val="auto"/>
          <w:sz w:val="24"/>
          <w:szCs w:val="24"/>
        </w:rPr>
        <w:t>L</w:t>
      </w:r>
      <w:r w:rsidR="004841DB" w:rsidRPr="00C42BF7">
        <w:rPr>
          <w:rFonts w:ascii="Times New Roman" w:hAnsi="Times New Roman"/>
          <w:b/>
          <w:color w:val="auto"/>
          <w:sz w:val="24"/>
          <w:szCs w:val="24"/>
        </w:rPr>
        <w:t>etërnjoftimit</w:t>
      </w:r>
      <w:r w:rsidR="009C4AFA" w:rsidRPr="00C42BF7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Qëllimi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 i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këtij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udhëzimi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është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946DA9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përcaktoj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formën</w:t>
      </w:r>
      <w:r w:rsidRPr="00C42BF7">
        <w:rPr>
          <w:rFonts w:ascii="Times New Roman" w:hAnsi="Times New Roman"/>
          <w:color w:val="auto"/>
          <w:sz w:val="24"/>
          <w:szCs w:val="24"/>
        </w:rPr>
        <w:t>,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rmbajtjen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dhe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mënyrën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e punimit </w:t>
      </w:r>
      <w:r w:rsidR="003E27C3" w:rsidRPr="00C42BF7">
        <w:rPr>
          <w:rFonts w:ascii="Times New Roman" w:hAnsi="Times New Roman"/>
          <w:color w:val="auto"/>
          <w:sz w:val="24"/>
          <w:szCs w:val="24"/>
        </w:rPr>
        <w:t xml:space="preserve">të </w:t>
      </w:r>
      <w:proofErr w:type="spellStart"/>
      <w:r w:rsidR="004D6116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6578F9" w:rsidRPr="00C42BF7">
        <w:rPr>
          <w:rFonts w:ascii="Times New Roman" w:hAnsi="Times New Roman"/>
          <w:color w:val="auto"/>
          <w:sz w:val="24"/>
          <w:szCs w:val="24"/>
        </w:rPr>
        <w:t>ë</w:t>
      </w:r>
      <w:proofErr w:type="spellEnd"/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dhënave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E27C3" w:rsidRPr="00C42BF7">
        <w:rPr>
          <w:rFonts w:ascii="Times New Roman" w:hAnsi="Times New Roman"/>
          <w:color w:val="auto"/>
          <w:sz w:val="24"/>
          <w:szCs w:val="24"/>
        </w:rPr>
        <w:t>n</w:t>
      </w:r>
      <w:r w:rsidR="006578F9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F7129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letërnjoftim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4D6116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6578F9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përcaktuara</w:t>
      </w:r>
      <w:proofErr w:type="spellEnd"/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nga Ministria e </w:t>
      </w:r>
      <w:r w:rsidR="004841DB" w:rsidRPr="00C42BF7">
        <w:rPr>
          <w:rFonts w:ascii="Times New Roman" w:hAnsi="Times New Roman"/>
          <w:color w:val="auto"/>
          <w:sz w:val="24"/>
          <w:szCs w:val="24"/>
        </w:rPr>
        <w:t>Punëve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6578F9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Brendshme. </w:t>
      </w:r>
    </w:p>
    <w:p w:rsidR="00334276" w:rsidRPr="00C42BF7" w:rsidRDefault="00334276" w:rsidP="00122A0B">
      <w:pPr>
        <w:tabs>
          <w:tab w:val="left" w:pos="555"/>
        </w:tabs>
        <w:autoSpaceDE w:val="0"/>
        <w:autoSpaceDN w:val="0"/>
        <w:adjustRightInd w:val="0"/>
        <w:jc w:val="both"/>
        <w:rPr>
          <w:i/>
          <w:lang w:val="sq-AL"/>
        </w:rPr>
      </w:pPr>
      <w:r w:rsidRPr="00C42BF7">
        <w:rPr>
          <w:i/>
          <w:lang w:val="sq-AL"/>
        </w:rPr>
        <w:t>Shpenzimet aktuale</w:t>
      </w:r>
    </w:p>
    <w:p w:rsidR="00334276" w:rsidRPr="00C42BF7" w:rsidRDefault="00334276" w:rsidP="00122A0B">
      <w:pPr>
        <w:tabs>
          <w:tab w:val="left" w:pos="555"/>
        </w:tabs>
        <w:autoSpaceDE w:val="0"/>
        <w:autoSpaceDN w:val="0"/>
        <w:adjustRightInd w:val="0"/>
        <w:jc w:val="both"/>
        <w:rPr>
          <w:i/>
          <w:highlight w:val="yellow"/>
          <w:u w:val="single"/>
          <w:lang w:val="sq-AL"/>
        </w:rPr>
      </w:pP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3783"/>
        <w:gridCol w:w="2401"/>
        <w:gridCol w:w="1873"/>
        <w:gridCol w:w="1540"/>
      </w:tblGrid>
      <w:tr w:rsidR="007E595A" w:rsidRPr="00C42BF7" w:rsidTr="00977AA2">
        <w:trPr>
          <w:trHeight w:val="982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52" w:rsidRPr="00C42BF7" w:rsidRDefault="00FB4C52" w:rsidP="00FB4C52">
            <w:pPr>
              <w:rPr>
                <w:lang w:val="sq-AL"/>
              </w:rPr>
            </w:pPr>
            <w:r w:rsidRPr="00C42BF7">
              <w:rPr>
                <w:lang w:val="sq-AL"/>
              </w:rPr>
              <w:t>Kategoria e shpenzimeve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52" w:rsidRPr="00C42BF7" w:rsidRDefault="00FB4C52" w:rsidP="00FB4C52">
            <w:pPr>
              <w:rPr>
                <w:lang w:val="sq-AL"/>
              </w:rPr>
            </w:pPr>
            <w:r w:rsidRPr="00C42BF7">
              <w:rPr>
                <w:lang w:val="sq-AL"/>
              </w:rPr>
              <w:t>Shpenzimet faktike ne vitin paraprak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52" w:rsidRPr="00C42BF7" w:rsidRDefault="00FB4C52" w:rsidP="00FB4C52">
            <w:pPr>
              <w:rPr>
                <w:lang w:val="sq-AL"/>
              </w:rPr>
            </w:pPr>
            <w:r w:rsidRPr="00C42BF7">
              <w:rPr>
                <w:lang w:val="sq-AL"/>
              </w:rPr>
              <w:t>Buxheti këtë vite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C52" w:rsidRPr="00C42BF7" w:rsidRDefault="00FB4C52" w:rsidP="000218A9">
            <w:pPr>
              <w:rPr>
                <w:lang w:val="sq-AL"/>
              </w:rPr>
            </w:pPr>
            <w:r w:rsidRPr="00C42BF7">
              <w:rPr>
                <w:lang w:val="sq-AL"/>
              </w:rPr>
              <w:t>KASH për vitin e ardhsh</w:t>
            </w:r>
            <w:r w:rsidR="000218A9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m</w:t>
            </w:r>
          </w:p>
        </w:tc>
      </w:tr>
      <w:tr w:rsidR="0093003F" w:rsidRPr="00C42BF7" w:rsidTr="00977AA2">
        <w:trPr>
          <w:trHeight w:val="428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FB4C52">
            <w:pPr>
              <w:rPr>
                <w:lang w:val="sq-AL"/>
              </w:rPr>
            </w:pPr>
            <w:r w:rsidRPr="00C42BF7">
              <w:rPr>
                <w:lang w:val="sq-AL"/>
              </w:rPr>
              <w:t>Buxheti I departamentit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670,5000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596,000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596,000</w:t>
            </w:r>
          </w:p>
        </w:tc>
      </w:tr>
      <w:tr w:rsidR="0093003F" w:rsidRPr="00C42BF7" w:rsidTr="00977AA2">
        <w:trPr>
          <w:trHeight w:val="63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3F" w:rsidRPr="00C42BF7" w:rsidRDefault="0093003F" w:rsidP="000218A9">
            <w:pPr>
              <w:rPr>
                <w:lang w:val="sq-AL"/>
              </w:rPr>
            </w:pPr>
            <w:r w:rsidRPr="00C42BF7">
              <w:rPr>
                <w:lang w:val="sq-AL"/>
              </w:rPr>
              <w:t>Shpenzimet e drejtpërdrejta nga Ministria e Financave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670,5000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596,000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596,000</w:t>
            </w:r>
          </w:p>
        </w:tc>
      </w:tr>
      <w:tr w:rsidR="0093003F" w:rsidRPr="00C42BF7" w:rsidTr="00977AA2">
        <w:trPr>
          <w:trHeight w:val="333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FB4C52">
            <w:pPr>
              <w:rPr>
                <w:lang w:val="sq-AL"/>
              </w:rPr>
            </w:pPr>
            <w:r w:rsidRPr="00C42BF7">
              <w:rPr>
                <w:lang w:val="sq-AL"/>
              </w:rPr>
              <w:t xml:space="preserve">Buxheti shtesë </w:t>
            </w:r>
            <w:proofErr w:type="spellStart"/>
            <w:r w:rsidRPr="00C42BF7">
              <w:rPr>
                <w:lang w:val="sq-AL"/>
              </w:rPr>
              <w:t>përletërnjoftime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0.00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03F" w:rsidRPr="00C42BF7" w:rsidRDefault="0093003F" w:rsidP="00977AA2">
            <w:pPr>
              <w:jc w:val="center"/>
              <w:rPr>
                <w:rFonts w:eastAsiaTheme="minorHAnsi"/>
              </w:rPr>
            </w:pPr>
            <w:r w:rsidRPr="00C42BF7">
              <w:t>0.00</w:t>
            </w:r>
          </w:p>
        </w:tc>
      </w:tr>
    </w:tbl>
    <w:p w:rsidR="00ED5447" w:rsidRPr="00C42BF7" w:rsidRDefault="00ED5447" w:rsidP="00060290">
      <w:pPr>
        <w:tabs>
          <w:tab w:val="left" w:pos="555"/>
        </w:tabs>
        <w:autoSpaceDE w:val="0"/>
        <w:autoSpaceDN w:val="0"/>
        <w:adjustRightInd w:val="0"/>
        <w:jc w:val="both"/>
        <w:rPr>
          <w:lang w:val="sq-AL"/>
        </w:rPr>
      </w:pPr>
    </w:p>
    <w:p w:rsidR="00C42BF7" w:rsidRDefault="00C42BF7" w:rsidP="00ED5447">
      <w:pPr>
        <w:tabs>
          <w:tab w:val="left" w:pos="555"/>
        </w:tabs>
        <w:autoSpaceDE w:val="0"/>
        <w:autoSpaceDN w:val="0"/>
        <w:adjustRightInd w:val="0"/>
        <w:jc w:val="both"/>
        <w:rPr>
          <w:i/>
          <w:lang w:val="sq-AL"/>
        </w:rPr>
      </w:pPr>
    </w:p>
    <w:p w:rsidR="001422CA" w:rsidRDefault="001422CA" w:rsidP="00ED5447">
      <w:pPr>
        <w:tabs>
          <w:tab w:val="left" w:pos="555"/>
        </w:tabs>
        <w:autoSpaceDE w:val="0"/>
        <w:autoSpaceDN w:val="0"/>
        <w:adjustRightInd w:val="0"/>
        <w:jc w:val="both"/>
        <w:rPr>
          <w:i/>
          <w:lang w:val="sq-AL"/>
        </w:rPr>
      </w:pPr>
    </w:p>
    <w:p w:rsidR="004D6116" w:rsidRPr="00C42BF7" w:rsidRDefault="00C37FCA" w:rsidP="00ED5447">
      <w:pPr>
        <w:tabs>
          <w:tab w:val="left" w:pos="555"/>
        </w:tabs>
        <w:autoSpaceDE w:val="0"/>
        <w:autoSpaceDN w:val="0"/>
        <w:adjustRightInd w:val="0"/>
        <w:jc w:val="both"/>
        <w:rPr>
          <w:i/>
          <w:lang w:val="sq-AL"/>
        </w:rPr>
      </w:pPr>
      <w:proofErr w:type="spellStart"/>
      <w:r w:rsidRPr="00C42BF7">
        <w:rPr>
          <w:i/>
          <w:lang w:val="sq-AL"/>
        </w:rPr>
        <w:lastRenderedPageBreak/>
        <w:t>Vlerësimiplotësues</w:t>
      </w:r>
      <w:proofErr w:type="spellEnd"/>
      <w:r w:rsidR="00060290" w:rsidRPr="00C42BF7">
        <w:rPr>
          <w:i/>
          <w:lang w:val="sq-AL"/>
        </w:rPr>
        <w:t xml:space="preserve"> i </w:t>
      </w:r>
      <w:r w:rsidR="004D6116" w:rsidRPr="00C42BF7">
        <w:rPr>
          <w:i/>
          <w:lang w:val="sq-AL"/>
        </w:rPr>
        <w:t>politikes aktuale</w:t>
      </w:r>
    </w:p>
    <w:p w:rsidR="004D6116" w:rsidRPr="00C42BF7" w:rsidRDefault="004D6116" w:rsidP="00ED5447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Ligji 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për letërnjoftim, si 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dhe 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aktet nënligjore përkatëse </w:t>
      </w:r>
      <w:r w:rsidR="00C37FCA" w:rsidRPr="00C42BF7">
        <w:rPr>
          <w:rFonts w:ascii="Times New Roman" w:hAnsi="Times New Roman"/>
          <w:color w:val="auto"/>
          <w:sz w:val="24"/>
          <w:szCs w:val="24"/>
        </w:rPr>
        <w:t>janë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mjaft t</w:t>
      </w:r>
      <w:r w:rsidR="005C533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avancuara dhe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n</w:t>
      </w:r>
      <w:r w:rsidR="005C533E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C37FCA" w:rsidRPr="00C42BF7">
        <w:rPr>
          <w:rFonts w:ascii="Times New Roman" w:hAnsi="Times New Roman"/>
          <w:color w:val="auto"/>
          <w:sz w:val="24"/>
          <w:szCs w:val="24"/>
        </w:rPr>
        <w:t>përputhje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me standardet </w:t>
      </w:r>
      <w:r w:rsidR="00C37FCA" w:rsidRPr="00C42BF7">
        <w:rPr>
          <w:rFonts w:ascii="Times New Roman" w:hAnsi="Times New Roman"/>
          <w:color w:val="auto"/>
          <w:sz w:val="24"/>
          <w:szCs w:val="24"/>
        </w:rPr>
        <w:t>ndërkombëtare</w:t>
      </w:r>
      <w:r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FF6586" w:rsidRPr="00C42BF7" w:rsidRDefault="00C37FCA" w:rsidP="00ED5447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Mirëpo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ndryshimi dhe plot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simi i korniz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s ligjore aktuale do tu </w:t>
      </w:r>
      <w:proofErr w:type="spellStart"/>
      <w:r w:rsidR="008C197C" w:rsidRPr="00C42BF7">
        <w:rPr>
          <w:rFonts w:ascii="Times New Roman" w:hAnsi="Times New Roman"/>
          <w:color w:val="auto"/>
          <w:sz w:val="24"/>
          <w:szCs w:val="24"/>
        </w:rPr>
        <w:t>jipte</w:t>
      </w:r>
      <w:proofErr w:type="spellEnd"/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n edhe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ve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 vendit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r tu pajisur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rnjoftim. </w:t>
      </w:r>
    </w:p>
    <w:p w:rsidR="008C197C" w:rsidRPr="00C42BF7" w:rsidRDefault="008F7C7C" w:rsidP="00ED5447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Çë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shtje tjet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r 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sht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 edhe harmonizimi i dispozitave sanksionuese 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 xml:space="preserve"> ligjit aktual p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r let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rnjoftim me dispozitat e ligjit p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C197C" w:rsidRPr="00C42BF7">
        <w:rPr>
          <w:rFonts w:ascii="Times New Roman" w:hAnsi="Times New Roman"/>
          <w:color w:val="auto"/>
          <w:sz w:val="24"/>
          <w:szCs w:val="24"/>
        </w:rPr>
        <w:t>rvajtje.</w:t>
      </w:r>
    </w:p>
    <w:p w:rsidR="0002749E" w:rsidRPr="00C42BF7" w:rsidRDefault="001D5C2C" w:rsidP="00B71039">
      <w:pPr>
        <w:tabs>
          <w:tab w:val="left" w:pos="555"/>
        </w:tabs>
        <w:autoSpaceDE w:val="0"/>
        <w:autoSpaceDN w:val="0"/>
        <w:adjustRightInd w:val="0"/>
        <w:jc w:val="both"/>
        <w:rPr>
          <w:i/>
          <w:lang w:val="sq-AL"/>
        </w:rPr>
      </w:pPr>
      <w:r w:rsidRPr="00C42BF7">
        <w:rPr>
          <w:i/>
          <w:lang w:val="sq-AL"/>
        </w:rPr>
        <w:t>P</w:t>
      </w:r>
      <w:r w:rsidR="0002749E" w:rsidRPr="00C42BF7">
        <w:rPr>
          <w:i/>
          <w:lang w:val="sq-AL"/>
        </w:rPr>
        <w:t>ë</w:t>
      </w:r>
      <w:r w:rsidRPr="00C42BF7">
        <w:rPr>
          <w:i/>
          <w:lang w:val="sq-AL"/>
        </w:rPr>
        <w:t>rvoja nga shtetet tjer</w:t>
      </w:r>
      <w:r w:rsidR="0002749E" w:rsidRPr="00C42BF7">
        <w:rPr>
          <w:i/>
          <w:lang w:val="sq-AL"/>
        </w:rPr>
        <w:t>a</w:t>
      </w:r>
    </w:p>
    <w:p w:rsidR="00A72934" w:rsidRPr="00C42BF7" w:rsidRDefault="007B3A6A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ga shtetet e BE-s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jan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Holanda dhe Lituania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cilat e kan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rregulluar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n e pajisjes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rnjoftim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r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t e tyre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are. Edhe pse k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to dy shtete e kan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rregulluar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n e pajisjes me </w:t>
      </w:r>
      <w:proofErr w:type="spellStart"/>
      <w:r w:rsidR="00A72934" w:rsidRPr="00C42BF7">
        <w:rPr>
          <w:rFonts w:ascii="Times New Roman" w:hAnsi="Times New Roman"/>
          <w:color w:val="auto"/>
          <w:sz w:val="24"/>
          <w:szCs w:val="24"/>
        </w:rPr>
        <w:t>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rnjoftm</w:t>
      </w:r>
      <w:proofErr w:type="spellEnd"/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r k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kategori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ve, </w:t>
      </w:r>
      <w:r w:rsidR="00E77033" w:rsidRPr="00C42BF7">
        <w:rPr>
          <w:rFonts w:ascii="Times New Roman" w:hAnsi="Times New Roman"/>
          <w:color w:val="auto"/>
          <w:sz w:val="24"/>
          <w:szCs w:val="24"/>
        </w:rPr>
        <w:t>ata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nuk jan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72934" w:rsidRPr="00C42BF7">
        <w:rPr>
          <w:rFonts w:ascii="Times New Roman" w:hAnsi="Times New Roman"/>
          <w:color w:val="auto"/>
          <w:sz w:val="24"/>
          <w:szCs w:val="24"/>
        </w:rPr>
        <w:t xml:space="preserve"> obligu</w:t>
      </w:r>
      <w:r w:rsidR="00E77033" w:rsidRPr="00C42BF7">
        <w:rPr>
          <w:rFonts w:ascii="Times New Roman" w:hAnsi="Times New Roman"/>
          <w:color w:val="auto"/>
          <w:sz w:val="24"/>
          <w:szCs w:val="24"/>
        </w:rPr>
        <w:t>ar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77033" w:rsidRPr="00C42BF7">
        <w:rPr>
          <w:rFonts w:ascii="Times New Roman" w:hAnsi="Times New Roman"/>
          <w:color w:val="auto"/>
          <w:sz w:val="24"/>
          <w:szCs w:val="24"/>
        </w:rPr>
        <w:t xml:space="preserve"> pajisen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77033" w:rsidRPr="00C42BF7">
        <w:rPr>
          <w:rFonts w:ascii="Times New Roman" w:hAnsi="Times New Roman"/>
          <w:color w:val="auto"/>
          <w:sz w:val="24"/>
          <w:szCs w:val="24"/>
        </w:rPr>
        <w:t>rnjoftime.</w:t>
      </w:r>
    </w:p>
    <w:p w:rsidR="00E77033" w:rsidRPr="00C42BF7" w:rsidRDefault="00E77033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Qasja e cila mund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ket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sukses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Kosov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ëë</w:t>
      </w:r>
      <w:r w:rsidRPr="00C42BF7">
        <w:rPr>
          <w:rFonts w:ascii="Times New Roman" w:hAnsi="Times New Roman"/>
          <w:color w:val="auto"/>
          <w:sz w:val="24"/>
          <w:szCs w:val="24"/>
        </w:rPr>
        <w:t>sht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 plot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sim ndryshimi i ligjit aktual i cili do tu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jipte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edhe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k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saj kategorie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vendit ton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r tu pajisur me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rnjoftin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>, ashtu si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e kan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rregulluar dy shtetet e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lart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cekura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BE-s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4D6116" w:rsidRPr="00C42BF7" w:rsidRDefault="004D6116" w:rsidP="00060290">
      <w:pPr>
        <w:tabs>
          <w:tab w:val="left" w:pos="555"/>
        </w:tabs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>Kapitulli III: Synimet dhe objektivat</w:t>
      </w:r>
    </w:p>
    <w:p w:rsidR="00F168A9" w:rsidRPr="00C42BF7" w:rsidRDefault="004D6116" w:rsidP="000B1F04">
      <w:pPr>
        <w:pStyle w:val="koncept"/>
        <w:rPr>
          <w:rFonts w:ascii="Times New Roman" w:hAnsi="Times New Roman"/>
          <w:i/>
          <w:color w:val="auto"/>
          <w:sz w:val="24"/>
          <w:szCs w:val="24"/>
        </w:rPr>
      </w:pPr>
      <w:r w:rsidRPr="00C42BF7">
        <w:rPr>
          <w:rFonts w:ascii="Times New Roman" w:hAnsi="Times New Roman"/>
          <w:i/>
          <w:color w:val="auto"/>
          <w:sz w:val="24"/>
          <w:szCs w:val="24"/>
        </w:rPr>
        <w:t>Synim</w:t>
      </w:r>
      <w:r w:rsidR="00F168A9" w:rsidRPr="00C42BF7">
        <w:rPr>
          <w:rFonts w:ascii="Times New Roman" w:hAnsi="Times New Roman"/>
          <w:i/>
          <w:color w:val="auto"/>
          <w:sz w:val="24"/>
          <w:szCs w:val="24"/>
        </w:rPr>
        <w:t>i</w:t>
      </w:r>
    </w:p>
    <w:p w:rsidR="004D6116" w:rsidRPr="00C42BF7" w:rsidRDefault="00556C7E" w:rsidP="000B1F04">
      <w:pPr>
        <w:pStyle w:val="koncept"/>
        <w:rPr>
          <w:rFonts w:ascii="Times New Roman" w:hAnsi="Times New Roman"/>
          <w:i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Synimi i p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ërgji</w:t>
      </w:r>
      <w:r w:rsidRPr="00C42BF7">
        <w:rPr>
          <w:rFonts w:ascii="Times New Roman" w:hAnsi="Times New Roman"/>
          <w:color w:val="auto"/>
          <w:sz w:val="24"/>
          <w:szCs w:val="24"/>
        </w:rPr>
        <w:t>thsh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m 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DE4869" w:rsidRPr="00C42BF7">
        <w:rPr>
          <w:rFonts w:ascii="Times New Roman" w:hAnsi="Times New Roman"/>
          <w:color w:val="auto"/>
          <w:sz w:val="24"/>
          <w:szCs w:val="24"/>
        </w:rPr>
        <w:t>sht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pajisja e shtetasve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Republikës</w:t>
      </w:r>
      <w:proofErr w:type="spellEnd"/>
      <w:r w:rsidR="00DE4869" w:rsidRPr="00C42BF7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DE4869" w:rsidRPr="00C42BF7">
        <w:rPr>
          <w:rFonts w:ascii="Times New Roman" w:hAnsi="Times New Roman"/>
          <w:color w:val="auto"/>
          <w:sz w:val="24"/>
          <w:szCs w:val="24"/>
        </w:rPr>
        <w:t xml:space="preserve"> Kosov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DE4869" w:rsidRPr="00C42BF7">
        <w:rPr>
          <w:rFonts w:ascii="Times New Roman" w:hAnsi="Times New Roman"/>
          <w:color w:val="auto"/>
          <w:sz w:val="24"/>
          <w:szCs w:val="24"/>
        </w:rPr>
        <w:t xml:space="preserve">s 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are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rnjoftime gj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 q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2003D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do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 xml:space="preserve"> ndikonte në rritjen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 e siguris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 publike dhe </w:t>
      </w:r>
      <w:proofErr w:type="spellStart"/>
      <w:r w:rsidR="007848E3" w:rsidRPr="00C42BF7">
        <w:rPr>
          <w:rFonts w:ascii="Times New Roman" w:hAnsi="Times New Roman"/>
          <w:color w:val="auto"/>
          <w:sz w:val="24"/>
          <w:szCs w:val="24"/>
        </w:rPr>
        <w:t>avancimi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ne</w:t>
      </w:r>
      <w:proofErr w:type="spellEnd"/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 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rbimeve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rgjithshme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r k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 kategori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848E3" w:rsidRPr="00C42BF7">
        <w:rPr>
          <w:rFonts w:ascii="Times New Roman" w:hAnsi="Times New Roman"/>
          <w:color w:val="auto"/>
          <w:sz w:val="24"/>
          <w:szCs w:val="24"/>
        </w:rPr>
        <w:t xml:space="preserve">ve. </w:t>
      </w:r>
    </w:p>
    <w:p w:rsidR="004D6116" w:rsidRPr="00C42BF7" w:rsidRDefault="004D6116" w:rsidP="000B1F04">
      <w:pPr>
        <w:tabs>
          <w:tab w:val="left" w:pos="555"/>
        </w:tabs>
        <w:autoSpaceDE w:val="0"/>
        <w:autoSpaceDN w:val="0"/>
        <w:adjustRightInd w:val="0"/>
        <w:jc w:val="both"/>
        <w:rPr>
          <w:i/>
          <w:lang w:val="sq-AL"/>
        </w:rPr>
      </w:pPr>
      <w:r w:rsidRPr="00C42BF7">
        <w:rPr>
          <w:i/>
          <w:lang w:val="sq-AL"/>
        </w:rPr>
        <w:t>Objektiva</w:t>
      </w:r>
      <w:r w:rsidR="00F168A9" w:rsidRPr="00C42BF7">
        <w:rPr>
          <w:i/>
          <w:lang w:val="sq-AL"/>
        </w:rPr>
        <w:t>t</w:t>
      </w:r>
    </w:p>
    <w:p w:rsidR="004D6116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Objektivat e propozimit qëndrojnë në dy kategori kryesore siç janë: </w:t>
      </w:r>
    </w:p>
    <w:p w:rsidR="004D6116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Pajisja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rnjoftim 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gjith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577F2" w:rsidRPr="00C42BF7">
        <w:rPr>
          <w:rFonts w:ascii="Times New Roman" w:hAnsi="Times New Roman"/>
          <w:color w:val="auto"/>
          <w:sz w:val="24"/>
          <w:szCs w:val="24"/>
        </w:rPr>
        <w:t>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v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proofErr w:type="spellEnd"/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n 16vje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are 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Kosov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s, gj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q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do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mund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sonte identifikim m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leht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r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t e k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saj kategorie si dhe leht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sira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r udh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tim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vendet ku mund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 udh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>tohet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577F2" w:rsidRPr="00C42BF7">
        <w:rPr>
          <w:rFonts w:ascii="Times New Roman" w:hAnsi="Times New Roman"/>
          <w:color w:val="auto"/>
          <w:sz w:val="24"/>
          <w:szCs w:val="24"/>
        </w:rPr>
        <w:t xml:space="preserve">rnjoftime. </w:t>
      </w:r>
    </w:p>
    <w:p w:rsidR="0002749E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="00277829" w:rsidRPr="00C42BF7">
        <w:rPr>
          <w:rFonts w:ascii="Times New Roman" w:hAnsi="Times New Roman"/>
          <w:color w:val="auto"/>
          <w:sz w:val="24"/>
          <w:szCs w:val="24"/>
        </w:rPr>
        <w:t>Forcimi i siguris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77829" w:rsidRPr="00C42BF7">
        <w:rPr>
          <w:rFonts w:ascii="Times New Roman" w:hAnsi="Times New Roman"/>
          <w:color w:val="auto"/>
          <w:sz w:val="24"/>
          <w:szCs w:val="24"/>
        </w:rPr>
        <w:t xml:space="preserve"> publike dhe avancimi i 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77829" w:rsidRPr="00C42BF7">
        <w:rPr>
          <w:rFonts w:ascii="Times New Roman" w:hAnsi="Times New Roman"/>
          <w:color w:val="auto"/>
          <w:sz w:val="24"/>
          <w:szCs w:val="24"/>
        </w:rPr>
        <w:t>rbimeve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77829" w:rsidRPr="00C42BF7">
        <w:rPr>
          <w:rFonts w:ascii="Times New Roman" w:hAnsi="Times New Roman"/>
          <w:color w:val="auto"/>
          <w:sz w:val="24"/>
          <w:szCs w:val="24"/>
        </w:rPr>
        <w:t>r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77829" w:rsidRPr="00C42BF7">
        <w:rPr>
          <w:rFonts w:ascii="Times New Roman" w:hAnsi="Times New Roman"/>
          <w:color w:val="auto"/>
          <w:sz w:val="24"/>
          <w:szCs w:val="24"/>
        </w:rPr>
        <w:t xml:space="preserve">t. </w:t>
      </w:r>
    </w:p>
    <w:p w:rsidR="004D6116" w:rsidRPr="00C42BF7" w:rsidRDefault="00C10C8B" w:rsidP="000B1F04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 xml:space="preserve">Kapitulli </w:t>
      </w:r>
      <w:proofErr w:type="spellStart"/>
      <w:r w:rsidRPr="00C42BF7">
        <w:rPr>
          <w:b/>
          <w:lang w:val="sq-AL"/>
        </w:rPr>
        <w:t>IV</w:t>
      </w:r>
      <w:r w:rsidR="00421931" w:rsidRPr="00C42BF7">
        <w:rPr>
          <w:b/>
          <w:lang w:val="sq-AL"/>
        </w:rPr>
        <w:t>:</w:t>
      </w:r>
      <w:r w:rsidR="004D6116" w:rsidRPr="00C42BF7">
        <w:rPr>
          <w:b/>
          <w:lang w:val="sq-AL"/>
        </w:rPr>
        <w:t>Opsionet</w:t>
      </w:r>
      <w:proofErr w:type="spellEnd"/>
    </w:p>
    <w:p w:rsidR="004D6116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Opsioni 1: Opsioni status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quo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(asnjë ndryshi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>m)</w:t>
      </w:r>
    </w:p>
    <w:p w:rsidR="003B0313" w:rsidRPr="00C42BF7" w:rsidRDefault="004D6116" w:rsidP="003B0313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Mos ndryshimi dhe plotësimi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 i 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Ligjit </w:t>
      </w:r>
      <w:proofErr w:type="spellStart"/>
      <w:r w:rsidR="00C37FCA" w:rsidRPr="00C42BF7">
        <w:rPr>
          <w:rFonts w:ascii="Times New Roman" w:hAnsi="Times New Roman"/>
          <w:color w:val="auto"/>
          <w:sz w:val="24"/>
          <w:szCs w:val="24"/>
        </w:rPr>
        <w:t>përLetërnjoftim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>, do t</w:t>
      </w:r>
      <w:r w:rsidR="003672C9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ruante status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quo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>-n</w:t>
      </w:r>
      <w:r w:rsidR="003672C9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, duke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u pamund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suar k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saj kategorie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ve q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B0313" w:rsidRPr="00C42BF7">
        <w:rPr>
          <w:rFonts w:ascii="Times New Roman" w:hAnsi="Times New Roman"/>
          <w:color w:val="auto"/>
          <w:sz w:val="24"/>
          <w:szCs w:val="24"/>
        </w:rPr>
        <w:t>pajien</w:t>
      </w:r>
      <w:proofErr w:type="spellEnd"/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rnjoftim me 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ka nuk do </w:t>
      </w:r>
      <w:proofErr w:type="spellStart"/>
      <w:r w:rsidR="003B0313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ket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proofErr w:type="spellEnd"/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rfitim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identifikim m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leht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, 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rbime m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mira dhe mund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si udh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timi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vendet ku mund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udh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tohet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rnjoftim. </w:t>
      </w:r>
    </w:p>
    <w:p w:rsidR="00556C7E" w:rsidRPr="00C42BF7" w:rsidRDefault="00556C7E" w:rsidP="003B0313">
      <w:pPr>
        <w:pStyle w:val="koncep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Nësebaza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ligjore dhe politika ekzistuese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vazhdon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jet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e nj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jt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, do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ket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v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shtir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si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shqiptimin e gjobave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ligjit aktual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 cilat nd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rlidhen me ligjin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B0313" w:rsidRPr="00C42BF7">
        <w:rPr>
          <w:rFonts w:ascii="Times New Roman" w:hAnsi="Times New Roman"/>
          <w:color w:val="auto"/>
          <w:sz w:val="24"/>
          <w:szCs w:val="24"/>
        </w:rPr>
        <w:t xml:space="preserve">rvajtje.  </w:t>
      </w:r>
    </w:p>
    <w:p w:rsidR="00DE4869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Opsioni 2: Ndryshimi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 i </w:t>
      </w:r>
      <w:r w:rsidR="0042003D" w:rsidRPr="00C42BF7">
        <w:rPr>
          <w:rFonts w:ascii="Times New Roman" w:hAnsi="Times New Roman"/>
          <w:color w:val="auto"/>
          <w:sz w:val="24"/>
          <w:szCs w:val="24"/>
        </w:rPr>
        <w:t>politik</w:t>
      </w:r>
      <w:r w:rsidR="0042003D" w:rsidRPr="00C42BF7">
        <w:rPr>
          <w:rFonts w:ascii="Times New Roman" w:hAnsi="Times New Roman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 ekzistues</w:t>
      </w:r>
      <w:r w:rsidR="00DE4869" w:rsidRPr="00C42BF7">
        <w:rPr>
          <w:rFonts w:ascii="Times New Roman" w:hAnsi="Times New Roman"/>
          <w:color w:val="auto"/>
          <w:sz w:val="24"/>
          <w:szCs w:val="24"/>
        </w:rPr>
        <w:t>e</w:t>
      </w:r>
    </w:p>
    <w:p w:rsidR="004D6116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Politika ekzistuese mund t</w:t>
      </w:r>
      <w:r w:rsidR="00AF7DA5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ndryshohet, duke</w:t>
      </w:r>
      <w:r w:rsidR="00734DBC" w:rsidRPr="00C42BF7">
        <w:rPr>
          <w:rFonts w:ascii="Times New Roman" w:hAnsi="Times New Roman"/>
          <w:color w:val="auto"/>
          <w:sz w:val="24"/>
          <w:szCs w:val="24"/>
        </w:rPr>
        <w:t xml:space="preserve"> plot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4DBC" w:rsidRPr="00C42BF7">
        <w:rPr>
          <w:rFonts w:ascii="Times New Roman" w:hAnsi="Times New Roman"/>
          <w:color w:val="auto"/>
          <w:sz w:val="24"/>
          <w:szCs w:val="24"/>
        </w:rPr>
        <w:t>suar dhe ndryshuar ligjin aktual.</w:t>
      </w:r>
    </w:p>
    <w:p w:rsidR="00F632F6" w:rsidRPr="00C42BF7" w:rsidRDefault="00734DBC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rmes plot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sim ndryshimit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ligjit aktual do tu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jipet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e drejta edhe kategoris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ç</w:t>
      </w:r>
      <w:r w:rsidRPr="00C42BF7">
        <w:rPr>
          <w:rFonts w:ascii="Times New Roman" w:hAnsi="Times New Roman"/>
          <w:color w:val="auto"/>
          <w:sz w:val="24"/>
          <w:szCs w:val="24"/>
        </w:rPr>
        <w:t>are q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pajisen me let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rnjoftim dhe do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b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het harmonizimi i dispozitave ligjore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ligjit aktual q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me dispozitat e ligjit t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ri p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rvajtje. Përcaktimi dhe rregullimi të këtyre dy çështjeve të lartcekura me ligjin pasues, do të kërkojë edhe plotësim ndrysh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i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min e dispozitave të tjera të ligjit aktual sipas nevojës dhe më qëllim për tu harmonizuar edhe me dy çështjet e lartcekura.  </w:t>
      </w:r>
    </w:p>
    <w:p w:rsidR="008C197C" w:rsidRPr="00C42BF7" w:rsidRDefault="00550C34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</w:t>
      </w:r>
      <w:r w:rsidR="008C197C" w:rsidRPr="00C42BF7">
        <w:rPr>
          <w:lang w:val="sq-AL"/>
        </w:rPr>
        <w:t xml:space="preserve">eni 2, nën paragrafi 1.5, </w:t>
      </w:r>
      <w:r w:rsidRPr="00C42BF7">
        <w:rPr>
          <w:lang w:val="sq-AL"/>
        </w:rPr>
        <w:t>i</w:t>
      </w:r>
      <w:r w:rsidR="00B2197E" w:rsidRPr="00C42BF7">
        <w:rPr>
          <w:lang w:val="sq-AL"/>
        </w:rPr>
        <w:t xml:space="preserve"> ligjit aktual </w:t>
      </w:r>
      <w:r w:rsidR="008C197C" w:rsidRPr="00C42BF7">
        <w:rPr>
          <w:lang w:val="sq-AL"/>
        </w:rPr>
        <w:t xml:space="preserve">duhet të </w:t>
      </w:r>
      <w:r w:rsidR="00277A38" w:rsidRPr="00C42BF7">
        <w:rPr>
          <w:lang w:val="sq-AL"/>
        </w:rPr>
        <w:t>ndryshohet dhe termi “</w:t>
      </w:r>
      <w:r w:rsidR="00B2197E" w:rsidRPr="00C42BF7">
        <w:rPr>
          <w:lang w:val="sq-AL"/>
        </w:rPr>
        <w:t xml:space="preserve">nënshkrimi </w:t>
      </w:r>
      <w:proofErr w:type="spellStart"/>
      <w:r w:rsidR="00B2197E" w:rsidRPr="00C42BF7">
        <w:rPr>
          <w:lang w:val="sq-AL"/>
        </w:rPr>
        <w:t>elektronik”</w:t>
      </w:r>
      <w:r w:rsidR="00277A38" w:rsidRPr="00C42BF7">
        <w:rPr>
          <w:lang w:val="sq-AL"/>
        </w:rPr>
        <w:t>ndryshohet</w:t>
      </w:r>
      <w:proofErr w:type="spellEnd"/>
      <w:r w:rsidR="00277A38" w:rsidRPr="00C42BF7">
        <w:rPr>
          <w:lang w:val="sq-AL"/>
        </w:rPr>
        <w:t xml:space="preserve"> dhe bëhet “nënshkrimi në formë elektronike”.</w:t>
      </w: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2, n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n-paragrafi 1.10 fjala “</w:t>
      </w:r>
      <w:r w:rsidR="00B21FCE" w:rsidRPr="00C42BF7">
        <w:rPr>
          <w:lang w:val="sq-AL"/>
        </w:rPr>
        <w:t>ministris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” hiqet dhe z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vend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sohet me fjalin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 xml:space="preserve"> “organi</w:t>
      </w:r>
      <w:r w:rsidR="00B21FCE" w:rsidRPr="00C42BF7">
        <w:rPr>
          <w:lang w:val="sq-AL"/>
        </w:rPr>
        <w:t>t</w:t>
      </w:r>
      <w:r w:rsidRPr="00C42BF7">
        <w:rPr>
          <w:lang w:val="sq-AL"/>
        </w:rPr>
        <w:t xml:space="preserve"> kompetent”.</w:t>
      </w: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</w:p>
    <w:p w:rsidR="00675DB4" w:rsidRPr="00C42BF7" w:rsidRDefault="00550C34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3, i ligjit aktual plot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sohet dhe ndryshohet me tekstin si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vijim: 1. </w:t>
      </w:r>
      <w:r w:rsidR="008F7C7C" w:rsidRPr="00C42BF7">
        <w:rPr>
          <w:lang w:val="sq-AL"/>
        </w:rPr>
        <w:t>Ç</w:t>
      </w:r>
      <w:r w:rsidRPr="00C42BF7">
        <w:rPr>
          <w:lang w:val="sq-AL"/>
        </w:rPr>
        <w:t>do shtetas i Republik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 s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</w:t>
      </w:r>
      <w:proofErr w:type="spellStart"/>
      <w:r w:rsidRPr="00C42BF7">
        <w:rPr>
          <w:lang w:val="sq-AL"/>
        </w:rPr>
        <w:t>Kosv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</w:t>
      </w:r>
      <w:proofErr w:type="spellEnd"/>
      <w:r w:rsidRPr="00C42BF7">
        <w:rPr>
          <w:lang w:val="sq-AL"/>
        </w:rPr>
        <w:t xml:space="preserve"> ka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drejt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pajiset me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rnjoftim. 2. Shtetasi i Republik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 s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Kosov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 nga lindja deri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mosh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n 16 vje</w:t>
      </w:r>
      <w:r w:rsidR="008F7C7C" w:rsidRPr="00C42BF7">
        <w:rPr>
          <w:lang w:val="sq-AL"/>
        </w:rPr>
        <w:t>ç</w:t>
      </w:r>
      <w:r w:rsidRPr="00C42BF7">
        <w:rPr>
          <w:lang w:val="sq-AL"/>
        </w:rPr>
        <w:t xml:space="preserve">are nuk 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sht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i </w:t>
      </w:r>
      <w:proofErr w:type="spellStart"/>
      <w:r w:rsidRPr="00C42BF7">
        <w:rPr>
          <w:lang w:val="sq-AL"/>
        </w:rPr>
        <w:t>detyrar</w:t>
      </w:r>
      <w:proofErr w:type="spellEnd"/>
      <w:r w:rsidRPr="00C42BF7">
        <w:rPr>
          <w:lang w:val="sq-AL"/>
        </w:rPr>
        <w:t xml:space="preserve">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pajiset me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rnjoftim. 3. Shtetasi i Republik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s </w:t>
      </w:r>
      <w:r w:rsidRPr="00C42BF7">
        <w:rPr>
          <w:lang w:val="sq-AL"/>
        </w:rPr>
        <w:lastRenderedPageBreak/>
        <w:t>s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Kosov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 nga mosha 16 vje</w:t>
      </w:r>
      <w:r w:rsidR="008F7C7C" w:rsidRPr="00C42BF7">
        <w:rPr>
          <w:lang w:val="sq-AL"/>
        </w:rPr>
        <w:t>ç</w:t>
      </w:r>
      <w:r w:rsidRPr="00C42BF7">
        <w:rPr>
          <w:lang w:val="sq-AL"/>
        </w:rPr>
        <w:t xml:space="preserve">are 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sht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i detyruar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pajiset me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rnjoftim. Nd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rsa, </w:t>
      </w:r>
      <w:r w:rsidR="00675DB4" w:rsidRPr="00C42BF7">
        <w:rPr>
          <w:lang w:val="sq-AL"/>
        </w:rPr>
        <w:t xml:space="preserve">teksti i </w:t>
      </w:r>
      <w:r w:rsidRPr="00C42BF7">
        <w:rPr>
          <w:lang w:val="sq-AL"/>
        </w:rPr>
        <w:t>paragrafi</w:t>
      </w:r>
      <w:r w:rsidR="00675DB4" w:rsidRPr="00C42BF7">
        <w:rPr>
          <w:lang w:val="sq-AL"/>
        </w:rPr>
        <w:t>t</w:t>
      </w:r>
      <w:r w:rsidRPr="00C42BF7">
        <w:rPr>
          <w:lang w:val="sq-AL"/>
        </w:rPr>
        <w:t xml:space="preserve"> 2 i ligjit aktual mbet</w:t>
      </w:r>
      <w:r w:rsidR="00277A38" w:rsidRPr="00C42BF7">
        <w:rPr>
          <w:lang w:val="sq-AL"/>
        </w:rPr>
        <w:t>e</w:t>
      </w:r>
      <w:r w:rsidRPr="00C42BF7">
        <w:rPr>
          <w:lang w:val="sq-AL"/>
        </w:rPr>
        <w:t>t i pandryshuar</w:t>
      </w:r>
      <w:r w:rsidR="00675DB4" w:rsidRPr="00C42BF7">
        <w:rPr>
          <w:lang w:val="sq-AL"/>
        </w:rPr>
        <w:t>, vet</w:t>
      </w:r>
      <w:r w:rsidR="008F7C7C" w:rsidRPr="00C42BF7">
        <w:rPr>
          <w:lang w:val="sq-AL"/>
        </w:rPr>
        <w:t>ë</w:t>
      </w:r>
      <w:r w:rsidR="00675DB4" w:rsidRPr="00C42BF7">
        <w:rPr>
          <w:lang w:val="sq-AL"/>
        </w:rPr>
        <w:t>m rinum</w:t>
      </w:r>
      <w:r w:rsidR="008F7C7C" w:rsidRPr="00C42BF7">
        <w:rPr>
          <w:lang w:val="sq-AL"/>
        </w:rPr>
        <w:t>ë</w:t>
      </w:r>
      <w:r w:rsidR="00675DB4" w:rsidRPr="00C42BF7">
        <w:rPr>
          <w:lang w:val="sq-AL"/>
        </w:rPr>
        <w:t>rohet.</w:t>
      </w: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5, paragrafi 4 fjala “ministria” ndryshohet me fjal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n “organ kompetent”.</w:t>
      </w:r>
    </w:p>
    <w:p w:rsidR="007626F0" w:rsidRPr="00C42BF7" w:rsidRDefault="007626F0" w:rsidP="007E595A">
      <w:pPr>
        <w:spacing w:line="360" w:lineRule="auto"/>
        <w:jc w:val="both"/>
        <w:rPr>
          <w:lang w:val="sq-AL"/>
        </w:rPr>
      </w:pPr>
    </w:p>
    <w:p w:rsidR="00B2197E" w:rsidRPr="00C42BF7" w:rsidRDefault="00675DB4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</w:t>
      </w:r>
      <w:r w:rsidR="007626F0" w:rsidRPr="00C42BF7">
        <w:rPr>
          <w:lang w:val="sq-AL"/>
        </w:rPr>
        <w:t>e</w:t>
      </w:r>
      <w:r w:rsidRPr="00C42BF7">
        <w:rPr>
          <w:lang w:val="sq-AL"/>
        </w:rPr>
        <w:t>ni 11, i ligjit aktual plot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sohet dhe ndryshohet si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vijim: Paragrafi 1.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rnjoftimi l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shohet me afat vlefshm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</w:t>
      </w:r>
      <w:r w:rsidR="00277A38" w:rsidRPr="00C42BF7">
        <w:rPr>
          <w:lang w:val="sq-AL"/>
        </w:rPr>
        <w:t>i</w:t>
      </w:r>
      <w:r w:rsidRPr="00C42BF7">
        <w:rPr>
          <w:lang w:val="sq-AL"/>
        </w:rPr>
        <w:t>e prej 3 vjet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ve p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 shtetasin nga lindja deri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mosh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n 3 vje</w:t>
      </w:r>
      <w:r w:rsidR="008F7C7C" w:rsidRPr="00C42BF7">
        <w:rPr>
          <w:lang w:val="sq-AL"/>
        </w:rPr>
        <w:t>ç</w:t>
      </w:r>
      <w:r w:rsidRPr="00C42BF7">
        <w:rPr>
          <w:lang w:val="sq-AL"/>
        </w:rPr>
        <w:t>are. Paragrafi 2</w:t>
      </w:r>
      <w:r w:rsidR="007626F0" w:rsidRPr="00C42BF7">
        <w:rPr>
          <w:lang w:val="sq-AL"/>
        </w:rPr>
        <w:t>. Let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rnjoftimi l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shohet me afat vlefshm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r</w:t>
      </w:r>
      <w:r w:rsidR="00277A38" w:rsidRPr="00C42BF7">
        <w:rPr>
          <w:lang w:val="sq-AL"/>
        </w:rPr>
        <w:t>i</w:t>
      </w:r>
      <w:r w:rsidR="007626F0" w:rsidRPr="00C42BF7">
        <w:rPr>
          <w:lang w:val="sq-AL"/>
        </w:rPr>
        <w:t>e prej 5 vjet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ve p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r shtetasin nga mosha 3 vje</w:t>
      </w:r>
      <w:r w:rsidR="008F7C7C" w:rsidRPr="00C42BF7">
        <w:rPr>
          <w:lang w:val="sq-AL"/>
        </w:rPr>
        <w:t>ç</w:t>
      </w:r>
      <w:r w:rsidR="007626F0" w:rsidRPr="00C42BF7">
        <w:rPr>
          <w:lang w:val="sq-AL"/>
        </w:rPr>
        <w:t>are deri n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 xml:space="preserve"> mosh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n 18 vje</w:t>
      </w:r>
      <w:r w:rsidR="008F7C7C" w:rsidRPr="00C42BF7">
        <w:rPr>
          <w:lang w:val="sq-AL"/>
        </w:rPr>
        <w:t>ç</w:t>
      </w:r>
      <w:r w:rsidR="007626F0" w:rsidRPr="00C42BF7">
        <w:rPr>
          <w:lang w:val="sq-AL"/>
        </w:rPr>
        <w:t>are. Paragrafi 3. Let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rnjoftimi l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shohet me afat vlefshm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r</w:t>
      </w:r>
      <w:r w:rsidR="00277A38" w:rsidRPr="00C42BF7">
        <w:rPr>
          <w:lang w:val="sq-AL"/>
        </w:rPr>
        <w:t>i</w:t>
      </w:r>
      <w:r w:rsidR="007626F0" w:rsidRPr="00C42BF7">
        <w:rPr>
          <w:lang w:val="sq-AL"/>
        </w:rPr>
        <w:t>e prej 10 vjet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ve p</w:t>
      </w:r>
      <w:r w:rsidR="008F7C7C" w:rsidRPr="00C42BF7">
        <w:rPr>
          <w:lang w:val="sq-AL"/>
        </w:rPr>
        <w:t>ë</w:t>
      </w:r>
      <w:r w:rsidR="007626F0" w:rsidRPr="00C42BF7">
        <w:rPr>
          <w:lang w:val="sq-AL"/>
        </w:rPr>
        <w:t>r shtetasin nga mosha 18 vje</w:t>
      </w:r>
      <w:r w:rsidR="008F7C7C" w:rsidRPr="00C42BF7">
        <w:rPr>
          <w:lang w:val="sq-AL"/>
        </w:rPr>
        <w:t>ç</w:t>
      </w:r>
      <w:r w:rsidR="007626F0" w:rsidRPr="00C42BF7">
        <w:rPr>
          <w:lang w:val="sq-AL"/>
        </w:rPr>
        <w:t>are.</w:t>
      </w:r>
    </w:p>
    <w:p w:rsidR="007626F0" w:rsidRPr="00C42BF7" w:rsidRDefault="007626F0" w:rsidP="007E595A">
      <w:pPr>
        <w:spacing w:line="360" w:lineRule="auto"/>
        <w:jc w:val="both"/>
        <w:rPr>
          <w:lang w:val="sq-AL"/>
        </w:rPr>
      </w:pPr>
    </w:p>
    <w:p w:rsidR="007626F0" w:rsidRPr="00C42BF7" w:rsidRDefault="007626F0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12, paragrafit 1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ligjit aktual i shtohet nj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n-paragraf i ri me num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 rendor 1.6 me tekstin si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vijim: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se shtetasi nuk e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rheq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rnjoftimin brenda 6 muajve nga data e </w:t>
      </w:r>
      <w:r w:rsidR="007C249B" w:rsidRPr="00C42BF7">
        <w:rPr>
          <w:lang w:val="sq-AL"/>
        </w:rPr>
        <w:t>njoftimit p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>r t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>rheqjen e tij, i nj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>jti dokument do t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 xml:space="preserve"> konsiderohet i pavlefsh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>m dhe nj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>koh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>sisht shkat</w:t>
      </w:r>
      <w:r w:rsidR="008F7C7C" w:rsidRPr="00C42BF7">
        <w:rPr>
          <w:lang w:val="sq-AL"/>
        </w:rPr>
        <w:t>ë</w:t>
      </w:r>
      <w:r w:rsidR="007C249B" w:rsidRPr="00C42BF7">
        <w:rPr>
          <w:lang w:val="sq-AL"/>
        </w:rPr>
        <w:t>rrohet nga organi kompetent.</w:t>
      </w:r>
    </w:p>
    <w:p w:rsidR="007C249B" w:rsidRPr="00C42BF7" w:rsidRDefault="007C249B" w:rsidP="007E595A">
      <w:pPr>
        <w:spacing w:line="360" w:lineRule="auto"/>
        <w:jc w:val="both"/>
        <w:rPr>
          <w:lang w:val="sq-AL"/>
        </w:rPr>
      </w:pPr>
    </w:p>
    <w:p w:rsidR="007C249B" w:rsidRPr="00C42BF7" w:rsidRDefault="007C249B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14, paragrafi 1 i ligjit aktual plot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sohet dhe ndryshohet me tekstin si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vijim: Organi kompetent 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sht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i detyruar ta l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shoj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let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rnjoftimin brenda 10 dit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sh</w:t>
      </w:r>
      <w:r w:rsidR="00E1551E" w:rsidRPr="00C42BF7">
        <w:rPr>
          <w:lang w:val="sq-AL"/>
        </w:rPr>
        <w:t xml:space="preserve"> pune</w:t>
      </w:r>
      <w:r w:rsidRPr="00C42BF7">
        <w:rPr>
          <w:lang w:val="sq-AL"/>
        </w:rPr>
        <w:t xml:space="preserve"> nga dita e paraqitjes s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k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rkes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s. Kurse, paragrafi 3 dhe </w:t>
      </w:r>
      <w:r w:rsidR="00D44B20" w:rsidRPr="00C42BF7">
        <w:rPr>
          <w:lang w:val="sq-AL"/>
        </w:rPr>
        <w:t>4</w:t>
      </w:r>
      <w:r w:rsidRPr="00C42BF7">
        <w:rPr>
          <w:lang w:val="sq-AL"/>
        </w:rPr>
        <w:t xml:space="preserve"> fshihen.</w:t>
      </w:r>
    </w:p>
    <w:p w:rsidR="007C249B" w:rsidRPr="00C42BF7" w:rsidRDefault="007C249B" w:rsidP="007E595A">
      <w:pPr>
        <w:spacing w:line="360" w:lineRule="auto"/>
        <w:jc w:val="both"/>
        <w:rPr>
          <w:lang w:val="sq-AL"/>
        </w:rPr>
      </w:pPr>
    </w:p>
    <w:p w:rsidR="007C249B" w:rsidRPr="00C42BF7" w:rsidRDefault="007C249B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16,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n-paragrafi 1.1 i ligjit aktual plot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sohet dhe ndryshohet me tekstin si n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vijim: nd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>rron ndonj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nga t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 dh</w:t>
      </w:r>
      <w:r w:rsidR="008F7C7C" w:rsidRPr="00C42BF7">
        <w:rPr>
          <w:lang w:val="sq-AL"/>
        </w:rPr>
        <w:t>ë</w:t>
      </w:r>
      <w:r w:rsidRPr="00C42BF7">
        <w:rPr>
          <w:lang w:val="sq-AL"/>
        </w:rPr>
        <w:t xml:space="preserve">nat personale nga </w:t>
      </w:r>
      <w:r w:rsidR="00665731" w:rsidRPr="00C42BF7">
        <w:rPr>
          <w:lang w:val="sq-AL"/>
        </w:rPr>
        <w:t>paragrafi 1 i nenit 9 t</w:t>
      </w:r>
      <w:r w:rsidR="008F7C7C" w:rsidRPr="00C42BF7">
        <w:rPr>
          <w:lang w:val="sq-AL"/>
        </w:rPr>
        <w:t>ë</w:t>
      </w:r>
      <w:r w:rsidR="00665731" w:rsidRPr="00C42BF7">
        <w:rPr>
          <w:lang w:val="sq-AL"/>
        </w:rPr>
        <w:t xml:space="preserve"> ligjit aktual. </w:t>
      </w: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17, paragrafi 3 dhe 4, fjala “ministria” hiqet dhe z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vend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sohet me fjalin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 xml:space="preserve"> “organi kompetent”.</w:t>
      </w:r>
    </w:p>
    <w:p w:rsidR="00020300" w:rsidRPr="00C42BF7" w:rsidRDefault="00020300" w:rsidP="007E595A">
      <w:pPr>
        <w:spacing w:line="360" w:lineRule="auto"/>
        <w:jc w:val="both"/>
        <w:rPr>
          <w:lang w:val="sq-AL"/>
        </w:rPr>
      </w:pPr>
    </w:p>
    <w:p w:rsidR="00020300" w:rsidRPr="00C42BF7" w:rsidRDefault="00575B8E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19, fjala “ministria” hiqet dhe z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vend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>sohet me fjalin</w:t>
      </w:r>
      <w:r w:rsidR="007E595A" w:rsidRPr="00C42BF7">
        <w:rPr>
          <w:lang w:val="sq-AL"/>
        </w:rPr>
        <w:t>ë</w:t>
      </w:r>
      <w:r w:rsidRPr="00C42BF7">
        <w:rPr>
          <w:lang w:val="sq-AL"/>
        </w:rPr>
        <w:t xml:space="preserve"> “organi kompetent”.</w:t>
      </w:r>
    </w:p>
    <w:p w:rsidR="00575B8E" w:rsidRPr="00C42BF7" w:rsidRDefault="00575B8E" w:rsidP="007E595A">
      <w:pPr>
        <w:spacing w:line="360" w:lineRule="auto"/>
        <w:jc w:val="both"/>
        <w:rPr>
          <w:lang w:val="sq-AL"/>
        </w:rPr>
      </w:pPr>
    </w:p>
    <w:p w:rsidR="00575B8E" w:rsidRPr="00C42BF7" w:rsidRDefault="00321E60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 xml:space="preserve">Neni 20, </w:t>
      </w:r>
      <w:r w:rsidR="00575B8E" w:rsidRPr="00C42BF7">
        <w:rPr>
          <w:lang w:val="sq-AL"/>
        </w:rPr>
        <w:t xml:space="preserve">paragrafi 1 </w:t>
      </w:r>
      <w:r w:rsidR="00AB6949" w:rsidRPr="00C42BF7">
        <w:rPr>
          <w:lang w:val="sq-AL"/>
        </w:rPr>
        <w:t>plotësohet dhe ndryshohet fjalia e tretë “letërnjoftimi pasues i lëshohet në kohëzgjatje prej 1 viti”</w:t>
      </w: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</w:p>
    <w:p w:rsidR="003306EE" w:rsidRPr="00C42BF7" w:rsidRDefault="003306EE" w:rsidP="007E595A">
      <w:pPr>
        <w:spacing w:line="360" w:lineRule="auto"/>
        <w:jc w:val="both"/>
        <w:rPr>
          <w:lang w:val="sq-AL"/>
        </w:rPr>
      </w:pPr>
      <w:r w:rsidRPr="00C42BF7">
        <w:rPr>
          <w:lang w:val="sq-AL"/>
        </w:rPr>
        <w:t>Neni 21, paragrafi 2 dhe 4 fjala “ministria” ndryshohet me fjal</w:t>
      </w:r>
      <w:r w:rsidR="00D44B20" w:rsidRPr="00C42BF7">
        <w:rPr>
          <w:lang w:val="sq-AL"/>
        </w:rPr>
        <w:t>inë</w:t>
      </w:r>
      <w:r w:rsidRPr="00C42BF7">
        <w:rPr>
          <w:lang w:val="sq-AL"/>
        </w:rPr>
        <w:t xml:space="preserve"> “organ kompetent”.</w:t>
      </w:r>
    </w:p>
    <w:p w:rsidR="0072058A" w:rsidRPr="00C42BF7" w:rsidRDefault="0072058A" w:rsidP="007E595A">
      <w:pPr>
        <w:spacing w:line="360" w:lineRule="auto"/>
        <w:jc w:val="both"/>
        <w:rPr>
          <w:lang w:val="sq-AL"/>
        </w:rPr>
      </w:pPr>
    </w:p>
    <w:p w:rsidR="00F94DF7" w:rsidRPr="00C42BF7" w:rsidRDefault="0072058A" w:rsidP="007E595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42BF7">
        <w:rPr>
          <w:lang w:val="sq-AL"/>
        </w:rPr>
        <w:t xml:space="preserve">Neni 22, </w:t>
      </w:r>
      <w:r w:rsidR="00F94DF7" w:rsidRPr="00C42BF7">
        <w:rPr>
          <w:lang w:val="sq-AL"/>
        </w:rPr>
        <w:t>plot</w:t>
      </w:r>
      <w:r w:rsidR="007E595A" w:rsidRPr="00C42BF7">
        <w:rPr>
          <w:lang w:val="sq-AL"/>
        </w:rPr>
        <w:t>ë</w:t>
      </w:r>
      <w:r w:rsidR="00F94DF7" w:rsidRPr="00C42BF7">
        <w:rPr>
          <w:lang w:val="sq-AL"/>
        </w:rPr>
        <w:t>sohet dhe ndryshohet si n</w:t>
      </w:r>
      <w:r w:rsidR="007E595A" w:rsidRPr="00C42BF7">
        <w:rPr>
          <w:lang w:val="sq-AL"/>
        </w:rPr>
        <w:t>ë</w:t>
      </w:r>
      <w:r w:rsidR="00F94DF7" w:rsidRPr="00C42BF7">
        <w:rPr>
          <w:lang w:val="sq-AL"/>
        </w:rPr>
        <w:t xml:space="preserve"> vijim:  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  <w:r w:rsidRPr="00C42BF7">
        <w:t xml:space="preserve">1. Me </w:t>
      </w:r>
      <w:proofErr w:type="spellStart"/>
      <w:r w:rsidRPr="00C42BF7">
        <w:t>gjobë</w:t>
      </w:r>
      <w:proofErr w:type="spellEnd"/>
      <w:r w:rsidRPr="00C42BF7">
        <w:t xml:space="preserve"> </w:t>
      </w:r>
      <w:proofErr w:type="spellStart"/>
      <w:r w:rsidRPr="00C42BF7">
        <w:t>prej</w:t>
      </w:r>
      <w:proofErr w:type="spellEnd"/>
      <w:r w:rsidRPr="00C42BF7">
        <w:t xml:space="preserve"> </w:t>
      </w:r>
      <w:proofErr w:type="spellStart"/>
      <w:r w:rsidRPr="00C42BF7">
        <w:t>dhjetë</w:t>
      </w:r>
      <w:proofErr w:type="spellEnd"/>
      <w:r w:rsidRPr="00C42BF7">
        <w:t xml:space="preserve"> (10) Euro </w:t>
      </w:r>
      <w:proofErr w:type="spellStart"/>
      <w:r w:rsidRPr="00C42BF7">
        <w:t>dënohet</w:t>
      </w:r>
      <w:proofErr w:type="spellEnd"/>
      <w:r w:rsidRPr="00C42BF7">
        <w:t xml:space="preserve"> </w:t>
      </w:r>
      <w:proofErr w:type="spellStart"/>
      <w:r w:rsidRPr="00C42BF7">
        <w:t>shtetasi</w:t>
      </w:r>
      <w:proofErr w:type="spellEnd"/>
      <w:r w:rsidRPr="00C42BF7">
        <w:t>: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ind w:left="720"/>
      </w:pPr>
      <w:r w:rsidRPr="00C42BF7">
        <w:t xml:space="preserve">1.1. </w:t>
      </w:r>
      <w:proofErr w:type="gramStart"/>
      <w:r w:rsidRPr="00C42BF7">
        <w:t>i</w:t>
      </w:r>
      <w:proofErr w:type="gramEnd"/>
      <w:r w:rsidRPr="00C42BF7">
        <w:t xml:space="preserve"> </w:t>
      </w:r>
      <w:proofErr w:type="spellStart"/>
      <w:r w:rsidRPr="00C42BF7">
        <w:t>cili</w:t>
      </w:r>
      <w:proofErr w:type="spellEnd"/>
      <w:r w:rsidRPr="00C42BF7">
        <w:t xml:space="preserve"> </w:t>
      </w:r>
      <w:proofErr w:type="spellStart"/>
      <w:r w:rsidRPr="00C42BF7">
        <w:t>nuk</w:t>
      </w:r>
      <w:proofErr w:type="spellEnd"/>
      <w:r w:rsidRPr="00C42BF7">
        <w:t xml:space="preserve"> </w:t>
      </w:r>
      <w:proofErr w:type="spellStart"/>
      <w:r w:rsidRPr="00C42BF7">
        <w:t>parashtron</w:t>
      </w:r>
      <w:proofErr w:type="spellEnd"/>
      <w:r w:rsidRPr="00C42BF7">
        <w:t xml:space="preserve"> </w:t>
      </w:r>
      <w:proofErr w:type="spellStart"/>
      <w:r w:rsidRPr="00C42BF7">
        <w:t>kërkesën</w:t>
      </w:r>
      <w:proofErr w:type="spellEnd"/>
      <w:r w:rsidRPr="00C42BF7">
        <w:t xml:space="preserve"> </w:t>
      </w:r>
      <w:proofErr w:type="spellStart"/>
      <w:r w:rsidRPr="00C42BF7">
        <w:t>për</w:t>
      </w:r>
      <w:proofErr w:type="spellEnd"/>
      <w:r w:rsidRPr="00C42BF7">
        <w:t xml:space="preserve"> </w:t>
      </w:r>
      <w:proofErr w:type="spellStart"/>
      <w:r w:rsidRPr="00C42BF7">
        <w:t>pajisje</w:t>
      </w:r>
      <w:proofErr w:type="spellEnd"/>
      <w:r w:rsidRPr="00C42BF7">
        <w:t xml:space="preserve"> me </w:t>
      </w:r>
      <w:proofErr w:type="spellStart"/>
      <w:r w:rsidRPr="00C42BF7">
        <w:t>letërnjoftim</w:t>
      </w:r>
      <w:proofErr w:type="spellEnd"/>
      <w:r w:rsidRPr="00C42BF7">
        <w:t xml:space="preserve">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përcaktuar</w:t>
      </w:r>
      <w:proofErr w:type="spellEnd"/>
      <w:r w:rsidRPr="00C42BF7">
        <w:t xml:space="preserve"> </w:t>
      </w:r>
      <w:proofErr w:type="spellStart"/>
      <w:r w:rsidRPr="00C42BF7">
        <w:t>në</w:t>
      </w:r>
      <w:proofErr w:type="spellEnd"/>
      <w:r w:rsidRPr="00C42BF7">
        <w:t xml:space="preserve"> </w:t>
      </w:r>
      <w:proofErr w:type="spellStart"/>
      <w:r w:rsidRPr="00C42BF7">
        <w:t>paragrafin</w:t>
      </w:r>
      <w:proofErr w:type="spellEnd"/>
      <w:r w:rsidRPr="00C42BF7">
        <w:t xml:space="preserve"> 2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nenit</w:t>
      </w:r>
      <w:proofErr w:type="spellEnd"/>
      <w:r w:rsidRPr="00C42BF7">
        <w:t xml:space="preserve"> 13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këtij</w:t>
      </w:r>
      <w:proofErr w:type="spellEnd"/>
      <w:r w:rsidRPr="00C42BF7">
        <w:t xml:space="preserve"> </w:t>
      </w:r>
      <w:proofErr w:type="spellStart"/>
      <w:r w:rsidRPr="00C42BF7">
        <w:t>ligji</w:t>
      </w:r>
      <w:proofErr w:type="spellEnd"/>
      <w:r w:rsidRPr="00C42BF7">
        <w:t>;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ind w:left="720"/>
      </w:pPr>
      <w:r w:rsidRPr="00C42BF7">
        <w:t xml:space="preserve">1.2. </w:t>
      </w:r>
      <w:proofErr w:type="gramStart"/>
      <w:r w:rsidRPr="00C42BF7">
        <w:t>i</w:t>
      </w:r>
      <w:proofErr w:type="gramEnd"/>
      <w:r w:rsidRPr="00C42BF7">
        <w:t xml:space="preserve"> </w:t>
      </w:r>
      <w:proofErr w:type="spellStart"/>
      <w:r w:rsidRPr="00C42BF7">
        <w:t>cili</w:t>
      </w:r>
      <w:proofErr w:type="spellEnd"/>
      <w:r w:rsidRPr="00C42BF7">
        <w:t xml:space="preserve"> </w:t>
      </w:r>
      <w:proofErr w:type="spellStart"/>
      <w:r w:rsidRPr="00C42BF7">
        <w:t>nuk</w:t>
      </w:r>
      <w:proofErr w:type="spellEnd"/>
      <w:r w:rsidRPr="00C42BF7">
        <w:t xml:space="preserve"> </w:t>
      </w:r>
      <w:proofErr w:type="spellStart"/>
      <w:r w:rsidRPr="00C42BF7">
        <w:t>ia</w:t>
      </w:r>
      <w:proofErr w:type="spellEnd"/>
      <w:r w:rsidRPr="00C42BF7">
        <w:t xml:space="preserve"> </w:t>
      </w:r>
      <w:proofErr w:type="spellStart"/>
      <w:r w:rsidRPr="00C42BF7">
        <w:t>dorëzon</w:t>
      </w:r>
      <w:proofErr w:type="spellEnd"/>
      <w:r w:rsidRPr="00C42BF7">
        <w:t xml:space="preserve"> </w:t>
      </w:r>
      <w:proofErr w:type="spellStart"/>
      <w:r w:rsidRPr="00C42BF7">
        <w:t>organit</w:t>
      </w:r>
      <w:proofErr w:type="spellEnd"/>
      <w:r w:rsidRPr="00C42BF7">
        <w:t xml:space="preserve"> </w:t>
      </w:r>
      <w:proofErr w:type="spellStart"/>
      <w:r w:rsidRPr="00C42BF7">
        <w:t>kompetent</w:t>
      </w:r>
      <w:proofErr w:type="spellEnd"/>
      <w:r w:rsidRPr="00C42BF7">
        <w:t xml:space="preserve"> </w:t>
      </w:r>
      <w:proofErr w:type="spellStart"/>
      <w:r w:rsidRPr="00C42BF7">
        <w:t>letërnjoftimin</w:t>
      </w:r>
      <w:proofErr w:type="spellEnd"/>
      <w:r w:rsidRPr="00C42BF7">
        <w:t xml:space="preserve"> </w:t>
      </w:r>
      <w:proofErr w:type="spellStart"/>
      <w:r w:rsidRPr="00C42BF7">
        <w:t>në</w:t>
      </w:r>
      <w:proofErr w:type="spellEnd"/>
      <w:r w:rsidRPr="00C42BF7">
        <w:t xml:space="preserve"> </w:t>
      </w:r>
      <w:proofErr w:type="spellStart"/>
      <w:r w:rsidRPr="00C42BF7">
        <w:t>afatin</w:t>
      </w:r>
      <w:proofErr w:type="spellEnd"/>
      <w:r w:rsidRPr="00C42BF7">
        <w:t xml:space="preserve"> e </w:t>
      </w:r>
      <w:proofErr w:type="spellStart"/>
      <w:r w:rsidRPr="00C42BF7">
        <w:t>caktuar</w:t>
      </w:r>
      <w:proofErr w:type="spellEnd"/>
      <w:r w:rsidRPr="00C42BF7">
        <w:t xml:space="preserve"> </w:t>
      </w:r>
      <w:proofErr w:type="spellStart"/>
      <w:r w:rsidRPr="00C42BF7">
        <w:t>në</w:t>
      </w:r>
      <w:proofErr w:type="spellEnd"/>
      <w:r w:rsidRPr="00C42BF7">
        <w:t xml:space="preserve"> </w:t>
      </w:r>
      <w:proofErr w:type="spellStart"/>
      <w:r w:rsidRPr="00C42BF7">
        <w:t>paragrafin</w:t>
      </w:r>
      <w:proofErr w:type="spellEnd"/>
      <w:r w:rsidRPr="00C42BF7">
        <w:t xml:space="preserve"> 1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nenit</w:t>
      </w:r>
      <w:proofErr w:type="spellEnd"/>
      <w:r w:rsidRPr="00C42BF7">
        <w:t xml:space="preserve"> 16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këtij</w:t>
      </w:r>
      <w:proofErr w:type="spellEnd"/>
      <w:r w:rsidRPr="00C42BF7">
        <w:t xml:space="preserve"> </w:t>
      </w:r>
      <w:proofErr w:type="spellStart"/>
      <w:r w:rsidRPr="00C42BF7">
        <w:t>ligji</w:t>
      </w:r>
      <w:proofErr w:type="spellEnd"/>
      <w:r w:rsidRPr="00C42BF7">
        <w:t>;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ind w:left="720"/>
      </w:pPr>
      <w:r w:rsidRPr="00C42BF7">
        <w:t xml:space="preserve">1.3. </w:t>
      </w:r>
      <w:proofErr w:type="gramStart"/>
      <w:r w:rsidRPr="00C42BF7">
        <w:t>i</w:t>
      </w:r>
      <w:proofErr w:type="gramEnd"/>
      <w:r w:rsidRPr="00C42BF7">
        <w:t xml:space="preserve"> </w:t>
      </w:r>
      <w:proofErr w:type="spellStart"/>
      <w:r w:rsidRPr="00C42BF7">
        <w:t>cili</w:t>
      </w:r>
      <w:proofErr w:type="spellEnd"/>
      <w:r w:rsidRPr="00C42BF7">
        <w:t xml:space="preserve"> </w:t>
      </w:r>
      <w:proofErr w:type="spellStart"/>
      <w:r w:rsidRPr="00C42BF7">
        <w:t>në</w:t>
      </w:r>
      <w:proofErr w:type="spellEnd"/>
      <w:r w:rsidRPr="00C42BF7">
        <w:t xml:space="preserve"> </w:t>
      </w:r>
      <w:proofErr w:type="spellStart"/>
      <w:r w:rsidRPr="00C42BF7">
        <w:t>afatin</w:t>
      </w:r>
      <w:proofErr w:type="spellEnd"/>
      <w:r w:rsidRPr="00C42BF7">
        <w:t xml:space="preserve"> e </w:t>
      </w:r>
      <w:proofErr w:type="spellStart"/>
      <w:r w:rsidRPr="00C42BF7">
        <w:t>caktuar</w:t>
      </w:r>
      <w:proofErr w:type="spellEnd"/>
      <w:r w:rsidRPr="00C42BF7">
        <w:t xml:space="preserve"> me </w:t>
      </w:r>
      <w:proofErr w:type="spellStart"/>
      <w:r w:rsidRPr="00C42BF7">
        <w:t>ligj</w:t>
      </w:r>
      <w:proofErr w:type="spellEnd"/>
      <w:r w:rsidRPr="00C42BF7">
        <w:t xml:space="preserve"> </w:t>
      </w:r>
      <w:proofErr w:type="spellStart"/>
      <w:r w:rsidRPr="00C42BF7">
        <w:t>dhe</w:t>
      </w:r>
      <w:proofErr w:type="spellEnd"/>
      <w:r w:rsidRPr="00C42BF7">
        <w:t xml:space="preserve"> </w:t>
      </w:r>
      <w:proofErr w:type="spellStart"/>
      <w:r w:rsidRPr="00C42BF7">
        <w:t>në</w:t>
      </w:r>
      <w:proofErr w:type="spellEnd"/>
      <w:r w:rsidRPr="00C42BF7">
        <w:t xml:space="preserve"> </w:t>
      </w:r>
      <w:proofErr w:type="spellStart"/>
      <w:r w:rsidRPr="00C42BF7">
        <w:t>mënyrë</w:t>
      </w:r>
      <w:proofErr w:type="spellEnd"/>
      <w:r w:rsidRPr="00C42BF7">
        <w:t xml:space="preserve">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rregullt</w:t>
      </w:r>
      <w:proofErr w:type="spellEnd"/>
      <w:r w:rsidRPr="00C42BF7">
        <w:t xml:space="preserve"> </w:t>
      </w:r>
      <w:proofErr w:type="spellStart"/>
      <w:r w:rsidRPr="00C42BF7">
        <w:t>nuk</w:t>
      </w:r>
      <w:proofErr w:type="spellEnd"/>
      <w:r w:rsidRPr="00C42BF7">
        <w:t xml:space="preserve"> e </w:t>
      </w:r>
      <w:proofErr w:type="spellStart"/>
      <w:r w:rsidRPr="00C42BF7">
        <w:t>lajmëron</w:t>
      </w:r>
      <w:proofErr w:type="spellEnd"/>
      <w:r w:rsidRPr="00C42BF7">
        <w:t xml:space="preserve"> </w:t>
      </w:r>
      <w:proofErr w:type="spellStart"/>
      <w:r w:rsidRPr="00C42BF7">
        <w:t>organin</w:t>
      </w:r>
      <w:proofErr w:type="spellEnd"/>
      <w:r w:rsidRPr="00C42BF7">
        <w:t xml:space="preserve"> </w:t>
      </w:r>
      <w:proofErr w:type="spellStart"/>
      <w:r w:rsidRPr="00C42BF7">
        <w:t>kompetent</w:t>
      </w:r>
      <w:proofErr w:type="spellEnd"/>
      <w:r w:rsidRPr="00C42BF7">
        <w:t xml:space="preserve"> </w:t>
      </w:r>
      <w:proofErr w:type="spellStart"/>
      <w:r w:rsidRPr="00C42BF7">
        <w:t>për</w:t>
      </w:r>
      <w:proofErr w:type="spellEnd"/>
      <w:r w:rsidRPr="00C42BF7">
        <w:t xml:space="preserve"> </w:t>
      </w:r>
      <w:proofErr w:type="spellStart"/>
      <w:r w:rsidRPr="00C42BF7">
        <w:t>humbjen</w:t>
      </w:r>
      <w:proofErr w:type="spellEnd"/>
      <w:r w:rsidRPr="00C42BF7">
        <w:t xml:space="preserve"> </w:t>
      </w:r>
      <w:proofErr w:type="spellStart"/>
      <w:r w:rsidRPr="00C42BF7">
        <w:t>apo</w:t>
      </w:r>
      <w:proofErr w:type="spellEnd"/>
      <w:r w:rsidRPr="00C42BF7">
        <w:t xml:space="preserve"> </w:t>
      </w:r>
      <w:proofErr w:type="spellStart"/>
      <w:r w:rsidRPr="00C42BF7">
        <w:t>gjetjen</w:t>
      </w:r>
      <w:proofErr w:type="spellEnd"/>
      <w:r w:rsidRPr="00C42BF7">
        <w:t xml:space="preserve"> e </w:t>
      </w:r>
      <w:proofErr w:type="spellStart"/>
      <w:r w:rsidRPr="00C42BF7">
        <w:t>letërnjoftimit</w:t>
      </w:r>
      <w:proofErr w:type="spellEnd"/>
      <w:r w:rsidRPr="00C42BF7">
        <w:t xml:space="preserve">, </w:t>
      </w:r>
      <w:proofErr w:type="spellStart"/>
      <w:r w:rsidRPr="00C42BF7">
        <w:t>paragrafi</w:t>
      </w:r>
      <w:proofErr w:type="spellEnd"/>
      <w:r w:rsidRPr="00C42BF7">
        <w:t xml:space="preserve"> 3 </w:t>
      </w:r>
      <w:proofErr w:type="spellStart"/>
      <w:r w:rsidRPr="00C42BF7">
        <w:t>dhe</w:t>
      </w:r>
      <w:proofErr w:type="spellEnd"/>
      <w:r w:rsidRPr="00C42BF7">
        <w:t xml:space="preserve"> 4 i </w:t>
      </w:r>
      <w:proofErr w:type="spellStart"/>
      <w:r w:rsidRPr="00C42BF7">
        <w:t>nenit</w:t>
      </w:r>
      <w:proofErr w:type="spellEnd"/>
      <w:r w:rsidRPr="00C42BF7">
        <w:t xml:space="preserve"> 15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këtij</w:t>
      </w:r>
      <w:proofErr w:type="spellEnd"/>
      <w:r w:rsidRPr="00C42BF7">
        <w:t xml:space="preserve"> </w:t>
      </w:r>
      <w:proofErr w:type="spellStart"/>
      <w:r w:rsidRPr="00C42BF7">
        <w:t>ligji</w:t>
      </w:r>
      <w:proofErr w:type="spellEnd"/>
      <w:r w:rsidRPr="00C42BF7">
        <w:t>.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  <w:r w:rsidRPr="00C42BF7">
        <w:t xml:space="preserve">2. Me </w:t>
      </w:r>
      <w:proofErr w:type="spellStart"/>
      <w:r w:rsidRPr="00C42BF7">
        <w:t>gjobë</w:t>
      </w:r>
      <w:proofErr w:type="spellEnd"/>
      <w:r w:rsidRPr="00C42BF7">
        <w:t xml:space="preserve"> </w:t>
      </w:r>
      <w:proofErr w:type="spellStart"/>
      <w:r w:rsidRPr="00C42BF7">
        <w:t>prej</w:t>
      </w:r>
      <w:proofErr w:type="spellEnd"/>
      <w:r w:rsidRPr="00C42BF7">
        <w:t xml:space="preserve"> </w:t>
      </w:r>
      <w:proofErr w:type="spellStart"/>
      <w:r w:rsidR="007B44E9" w:rsidRPr="00C42BF7">
        <w:t>nj</w:t>
      </w:r>
      <w:r w:rsidR="007B44E9" w:rsidRPr="00C42BF7">
        <w:rPr>
          <w:lang w:val="sq-AL"/>
        </w:rPr>
        <w:t>ëzetë</w:t>
      </w:r>
      <w:proofErr w:type="spellEnd"/>
      <w:r w:rsidR="007B44E9" w:rsidRPr="00C42BF7">
        <w:rPr>
          <w:lang w:val="sq-AL"/>
        </w:rPr>
        <w:t xml:space="preserve"> (20) deri në </w:t>
      </w:r>
      <w:proofErr w:type="spellStart"/>
      <w:r w:rsidR="007B44E9" w:rsidRPr="00C42BF7">
        <w:t>gjashtëdhjetë</w:t>
      </w:r>
      <w:proofErr w:type="spellEnd"/>
      <w:r w:rsidR="007B44E9" w:rsidRPr="00C42BF7">
        <w:t xml:space="preserve"> (6</w:t>
      </w:r>
      <w:r w:rsidRPr="00C42BF7">
        <w:t xml:space="preserve">0) Euro, </w:t>
      </w:r>
      <w:proofErr w:type="spellStart"/>
      <w:r w:rsidRPr="00C42BF7">
        <w:t>dënohet</w:t>
      </w:r>
      <w:proofErr w:type="spellEnd"/>
      <w:r w:rsidRPr="00C42BF7">
        <w:t xml:space="preserve"> </w:t>
      </w:r>
      <w:proofErr w:type="spellStart"/>
      <w:r w:rsidRPr="00C42BF7">
        <w:t>për</w:t>
      </w:r>
      <w:proofErr w:type="spellEnd"/>
      <w:r w:rsidRPr="00C42BF7">
        <w:t xml:space="preserve"> </w:t>
      </w:r>
      <w:proofErr w:type="spellStart"/>
      <w:r w:rsidRPr="00C42BF7">
        <w:t>kundërvajtje</w:t>
      </w:r>
      <w:proofErr w:type="spellEnd"/>
      <w:r w:rsidRPr="00C42BF7">
        <w:t xml:space="preserve"> </w:t>
      </w:r>
      <w:proofErr w:type="spellStart"/>
      <w:r w:rsidRPr="00C42BF7">
        <w:t>shtetasi</w:t>
      </w:r>
      <w:proofErr w:type="spellEnd"/>
      <w:r w:rsidRPr="00C42BF7">
        <w:t>: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ind w:left="720"/>
      </w:pPr>
      <w:r w:rsidRPr="00C42BF7">
        <w:t>2.1.</w:t>
      </w:r>
      <w:r w:rsidR="00692040" w:rsidRPr="00C42BF7">
        <w:t xml:space="preserve"> </w:t>
      </w:r>
      <w:proofErr w:type="gramStart"/>
      <w:r w:rsidRPr="00C42BF7">
        <w:t>i</w:t>
      </w:r>
      <w:proofErr w:type="gramEnd"/>
      <w:r w:rsidRPr="00C42BF7">
        <w:t xml:space="preserve"> </w:t>
      </w:r>
      <w:proofErr w:type="spellStart"/>
      <w:r w:rsidRPr="00C42BF7">
        <w:t>cili</w:t>
      </w:r>
      <w:proofErr w:type="spellEnd"/>
      <w:r w:rsidRPr="00C42BF7">
        <w:t xml:space="preserve"> </w:t>
      </w:r>
      <w:proofErr w:type="spellStart"/>
      <w:r w:rsidRPr="00C42BF7">
        <w:t>nuk</w:t>
      </w:r>
      <w:proofErr w:type="spellEnd"/>
      <w:r w:rsidRPr="00C42BF7">
        <w:t xml:space="preserve"> e </w:t>
      </w:r>
      <w:proofErr w:type="spellStart"/>
      <w:r w:rsidRPr="00C42BF7">
        <w:t>ka</w:t>
      </w:r>
      <w:proofErr w:type="spellEnd"/>
      <w:r w:rsidRPr="00C42BF7">
        <w:t xml:space="preserve"> </w:t>
      </w:r>
      <w:proofErr w:type="spellStart"/>
      <w:r w:rsidRPr="00C42BF7">
        <w:t>letërnjoftimin</w:t>
      </w:r>
      <w:proofErr w:type="spellEnd"/>
      <w:r w:rsidRPr="00C42BF7">
        <w:t xml:space="preserve"> e </w:t>
      </w:r>
      <w:proofErr w:type="spellStart"/>
      <w:r w:rsidRPr="00C42BF7">
        <w:t>vlefshëm</w:t>
      </w:r>
      <w:proofErr w:type="spellEnd"/>
      <w:r w:rsidRPr="00C42BF7">
        <w:t xml:space="preserve"> </w:t>
      </w:r>
      <w:proofErr w:type="spellStart"/>
      <w:r w:rsidRPr="00C42BF7">
        <w:t>dhe</w:t>
      </w:r>
      <w:proofErr w:type="spellEnd"/>
      <w:r w:rsidRPr="00C42BF7">
        <w:t xml:space="preserve"> </w:t>
      </w:r>
      <w:proofErr w:type="spellStart"/>
      <w:r w:rsidRPr="00C42BF7">
        <w:t>nuk</w:t>
      </w:r>
      <w:proofErr w:type="spellEnd"/>
      <w:r w:rsidRPr="00C42BF7">
        <w:t xml:space="preserve"> </w:t>
      </w:r>
      <w:proofErr w:type="spellStart"/>
      <w:r w:rsidRPr="00C42BF7">
        <w:t>ka</w:t>
      </w:r>
      <w:proofErr w:type="spellEnd"/>
      <w:r w:rsidRPr="00C42BF7">
        <w:t xml:space="preserve"> </w:t>
      </w:r>
      <w:proofErr w:type="spellStart"/>
      <w:r w:rsidRPr="00C42BF7">
        <w:t>dokument</w:t>
      </w:r>
      <w:proofErr w:type="spellEnd"/>
      <w:r w:rsidRPr="00C42BF7">
        <w:t xml:space="preserve"> </w:t>
      </w:r>
      <w:proofErr w:type="spellStart"/>
      <w:r w:rsidRPr="00C42BF7">
        <w:t>tjetër</w:t>
      </w:r>
      <w:proofErr w:type="spellEnd"/>
      <w:r w:rsidRPr="00C42BF7">
        <w:t xml:space="preserve">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vlefshëm</w:t>
      </w:r>
      <w:proofErr w:type="spellEnd"/>
      <w:r w:rsidRPr="00C42BF7">
        <w:t xml:space="preserve"> </w:t>
      </w:r>
      <w:proofErr w:type="spellStart"/>
      <w:r w:rsidRPr="00C42BF7">
        <w:t>identifikues</w:t>
      </w:r>
      <w:proofErr w:type="spellEnd"/>
      <w:r w:rsidRPr="00C42BF7">
        <w:t xml:space="preserve"> me </w:t>
      </w:r>
      <w:proofErr w:type="spellStart"/>
      <w:r w:rsidRPr="00C42BF7">
        <w:t>fotografi</w:t>
      </w:r>
      <w:proofErr w:type="spellEnd"/>
      <w:r w:rsidR="00692040" w:rsidRPr="00C42BF7">
        <w:t>, me p</w:t>
      </w:r>
      <w:proofErr w:type="spellStart"/>
      <w:r w:rsidR="00692040" w:rsidRPr="00C42BF7">
        <w:rPr>
          <w:lang w:val="sq-AL"/>
        </w:rPr>
        <w:t>ërjashtim</w:t>
      </w:r>
      <w:proofErr w:type="spellEnd"/>
      <w:r w:rsidR="00692040" w:rsidRPr="00C42BF7">
        <w:rPr>
          <w:lang w:val="sq-AL"/>
        </w:rPr>
        <w:t xml:space="preserve"> të afatit ligjor për pajisje me letërnjoftim</w:t>
      </w:r>
      <w:r w:rsidRPr="00C42BF7">
        <w:t>;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ind w:left="720"/>
      </w:pPr>
      <w:r w:rsidRPr="00C42BF7">
        <w:t xml:space="preserve">2.2. </w:t>
      </w:r>
      <w:proofErr w:type="gramStart"/>
      <w:r w:rsidRPr="00C42BF7">
        <w:t>i</w:t>
      </w:r>
      <w:proofErr w:type="gramEnd"/>
      <w:r w:rsidRPr="00C42BF7">
        <w:t xml:space="preserve"> </w:t>
      </w:r>
      <w:proofErr w:type="spellStart"/>
      <w:r w:rsidRPr="00C42BF7">
        <w:t>cili</w:t>
      </w:r>
      <w:proofErr w:type="spellEnd"/>
      <w:r w:rsidRPr="00C42BF7">
        <w:t xml:space="preserve"> me </w:t>
      </w:r>
      <w:proofErr w:type="spellStart"/>
      <w:r w:rsidRPr="00C42BF7">
        <w:t>kërkesën</w:t>
      </w:r>
      <w:proofErr w:type="spellEnd"/>
      <w:r w:rsidRPr="00C42BF7">
        <w:t xml:space="preserve"> e </w:t>
      </w:r>
      <w:proofErr w:type="spellStart"/>
      <w:r w:rsidRPr="00C42BF7">
        <w:t>personit</w:t>
      </w:r>
      <w:proofErr w:type="spellEnd"/>
      <w:r w:rsidRPr="00C42BF7">
        <w:t xml:space="preserve"> </w:t>
      </w:r>
      <w:proofErr w:type="spellStart"/>
      <w:r w:rsidRPr="00C42BF7">
        <w:t>zyrtar</w:t>
      </w:r>
      <w:proofErr w:type="spellEnd"/>
      <w:r w:rsidRPr="00C42BF7">
        <w:t xml:space="preserve">,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autorizuar</w:t>
      </w:r>
      <w:proofErr w:type="spellEnd"/>
      <w:r w:rsidRPr="00C42BF7">
        <w:t xml:space="preserve"> me </w:t>
      </w:r>
      <w:proofErr w:type="spellStart"/>
      <w:r w:rsidRPr="00C42BF7">
        <w:t>ligj</w:t>
      </w:r>
      <w:proofErr w:type="spellEnd"/>
      <w:r w:rsidRPr="00C42BF7">
        <w:t xml:space="preserve">, </w:t>
      </w:r>
      <w:proofErr w:type="spellStart"/>
      <w:r w:rsidRPr="00C42BF7">
        <w:t>letërnjoftimin</w:t>
      </w:r>
      <w:proofErr w:type="spellEnd"/>
      <w:r w:rsidRPr="00C42BF7">
        <w:t xml:space="preserve"> </w:t>
      </w:r>
      <w:proofErr w:type="spellStart"/>
      <w:r w:rsidRPr="00C42BF7">
        <w:t>nuk</w:t>
      </w:r>
      <w:proofErr w:type="spellEnd"/>
      <w:r w:rsidRPr="00C42BF7">
        <w:t xml:space="preserve"> e </w:t>
      </w:r>
      <w:proofErr w:type="spellStart"/>
      <w:r w:rsidRPr="00C42BF7">
        <w:t>posedon</w:t>
      </w:r>
      <w:proofErr w:type="spellEnd"/>
      <w:r w:rsidRPr="00C42BF7">
        <w:t xml:space="preserve"> me </w:t>
      </w:r>
      <w:proofErr w:type="spellStart"/>
      <w:r w:rsidRPr="00C42BF7">
        <w:t>vete</w:t>
      </w:r>
      <w:proofErr w:type="spellEnd"/>
      <w:r w:rsidRPr="00C42BF7">
        <w:t xml:space="preserve">, </w:t>
      </w:r>
      <w:proofErr w:type="spellStart"/>
      <w:r w:rsidRPr="00C42BF7">
        <w:t>ose</w:t>
      </w:r>
      <w:proofErr w:type="spellEnd"/>
      <w:r w:rsidRPr="00C42BF7">
        <w:t xml:space="preserve"> </w:t>
      </w:r>
      <w:proofErr w:type="spellStart"/>
      <w:r w:rsidRPr="00C42BF7">
        <w:t>nuk</w:t>
      </w:r>
      <w:proofErr w:type="spellEnd"/>
      <w:r w:rsidRPr="00C42BF7">
        <w:t xml:space="preserve"> </w:t>
      </w:r>
      <w:proofErr w:type="spellStart"/>
      <w:r w:rsidRPr="00C42BF7">
        <w:t>dëshiron</w:t>
      </w:r>
      <w:proofErr w:type="spellEnd"/>
      <w:r w:rsidRPr="00C42BF7">
        <w:t xml:space="preserve"> ta jap </w:t>
      </w:r>
      <w:proofErr w:type="spellStart"/>
      <w:r w:rsidRPr="00C42BF7">
        <w:t>për</w:t>
      </w:r>
      <w:proofErr w:type="spellEnd"/>
      <w:r w:rsidRPr="00C42BF7">
        <w:t xml:space="preserve"> </w:t>
      </w:r>
      <w:proofErr w:type="spellStart"/>
      <w:r w:rsidRPr="00C42BF7">
        <w:t>identifikim</w:t>
      </w:r>
      <w:proofErr w:type="spellEnd"/>
      <w:r w:rsidRPr="00C42BF7">
        <w:t xml:space="preserve"> </w:t>
      </w:r>
      <w:proofErr w:type="spellStart"/>
      <w:r w:rsidRPr="00C42BF7">
        <w:t>sipas</w:t>
      </w:r>
      <w:proofErr w:type="spellEnd"/>
      <w:r w:rsidRPr="00C42BF7">
        <w:t xml:space="preserve"> </w:t>
      </w:r>
      <w:proofErr w:type="spellStart"/>
      <w:r w:rsidRPr="00C42BF7">
        <w:t>paragrafit</w:t>
      </w:r>
      <w:proofErr w:type="spellEnd"/>
      <w:r w:rsidRPr="00C42BF7">
        <w:t xml:space="preserve"> 1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nenit</w:t>
      </w:r>
      <w:proofErr w:type="spellEnd"/>
      <w:r w:rsidRPr="00C42BF7">
        <w:t xml:space="preserve"> 4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këtij</w:t>
      </w:r>
      <w:proofErr w:type="spellEnd"/>
      <w:r w:rsidRPr="00C42BF7">
        <w:t xml:space="preserve"> </w:t>
      </w:r>
      <w:proofErr w:type="spellStart"/>
      <w:r w:rsidRPr="00C42BF7">
        <w:t>ligji</w:t>
      </w:r>
      <w:proofErr w:type="spellEnd"/>
      <w:r w:rsidRPr="00C42BF7">
        <w:t>;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  <w:r w:rsidRPr="00C42BF7">
        <w:t xml:space="preserve">3. Me </w:t>
      </w:r>
      <w:proofErr w:type="spellStart"/>
      <w:r w:rsidRPr="00C42BF7">
        <w:t>gjobë</w:t>
      </w:r>
      <w:proofErr w:type="spellEnd"/>
      <w:r w:rsidRPr="00C42BF7">
        <w:t xml:space="preserve"> </w:t>
      </w:r>
      <w:proofErr w:type="spellStart"/>
      <w:r w:rsidRPr="00C42BF7">
        <w:t>prej</w:t>
      </w:r>
      <w:proofErr w:type="spellEnd"/>
      <w:r w:rsidRPr="00C42BF7">
        <w:t xml:space="preserve"> </w:t>
      </w:r>
      <w:proofErr w:type="spellStart"/>
      <w:r w:rsidRPr="00C42BF7">
        <w:t>njëqind</w:t>
      </w:r>
      <w:proofErr w:type="spellEnd"/>
      <w:r w:rsidRPr="00C42BF7">
        <w:t xml:space="preserve"> (100) Euro </w:t>
      </w:r>
      <w:proofErr w:type="spellStart"/>
      <w:r w:rsidRPr="00C42BF7">
        <w:t>dënohet</w:t>
      </w:r>
      <w:proofErr w:type="spellEnd"/>
      <w:r w:rsidRPr="00C42BF7">
        <w:t xml:space="preserve"> </w:t>
      </w:r>
      <w:proofErr w:type="spellStart"/>
      <w:r w:rsidRPr="00C42BF7">
        <w:t>për</w:t>
      </w:r>
      <w:proofErr w:type="spellEnd"/>
      <w:r w:rsidRPr="00C42BF7">
        <w:t xml:space="preserve"> </w:t>
      </w:r>
      <w:proofErr w:type="spellStart"/>
      <w:r w:rsidRPr="00C42BF7">
        <w:t>kundërvajtje</w:t>
      </w:r>
      <w:proofErr w:type="spellEnd"/>
      <w:r w:rsidRPr="00C42BF7">
        <w:t xml:space="preserve"> </w:t>
      </w:r>
      <w:proofErr w:type="spellStart"/>
      <w:r w:rsidRPr="00C42BF7">
        <w:t>shtetasi</w:t>
      </w:r>
      <w:proofErr w:type="spellEnd"/>
      <w:r w:rsidRPr="00C42BF7">
        <w:t xml:space="preserve">: 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ind w:left="720"/>
      </w:pPr>
      <w:r w:rsidRPr="00C42BF7">
        <w:t xml:space="preserve">3.1. </w:t>
      </w:r>
      <w:proofErr w:type="gramStart"/>
      <w:r w:rsidRPr="00C42BF7">
        <w:t>i</w:t>
      </w:r>
      <w:proofErr w:type="gramEnd"/>
      <w:r w:rsidRPr="00C42BF7">
        <w:t xml:space="preserve"> </w:t>
      </w:r>
      <w:proofErr w:type="spellStart"/>
      <w:r w:rsidRPr="00C42BF7">
        <w:t>cili</w:t>
      </w:r>
      <w:proofErr w:type="spellEnd"/>
      <w:r w:rsidRPr="00C42BF7">
        <w:t xml:space="preserve"> </w:t>
      </w:r>
      <w:proofErr w:type="spellStart"/>
      <w:r w:rsidRPr="00C42BF7">
        <w:t>letërnjoftimin</w:t>
      </w:r>
      <w:proofErr w:type="spellEnd"/>
      <w:r w:rsidRPr="00C42BF7">
        <w:t xml:space="preserve"> e </w:t>
      </w:r>
      <w:proofErr w:type="spellStart"/>
      <w:r w:rsidRPr="00C42BF7">
        <w:t>tij</w:t>
      </w:r>
      <w:proofErr w:type="spellEnd"/>
      <w:r w:rsidRPr="00C42BF7">
        <w:t xml:space="preserve"> e </w:t>
      </w:r>
      <w:proofErr w:type="spellStart"/>
      <w:r w:rsidRPr="00C42BF7">
        <w:t>jep</w:t>
      </w:r>
      <w:proofErr w:type="spellEnd"/>
      <w:r w:rsidRPr="00C42BF7">
        <w:t xml:space="preserve"> </w:t>
      </w:r>
      <w:proofErr w:type="spellStart"/>
      <w:r w:rsidRPr="00C42BF7">
        <w:t>apo</w:t>
      </w:r>
      <w:proofErr w:type="spellEnd"/>
      <w:r w:rsidRPr="00C42BF7">
        <w:t xml:space="preserve"> </w:t>
      </w:r>
      <w:proofErr w:type="spellStart"/>
      <w:r w:rsidRPr="00C42BF7">
        <w:t>huazon</w:t>
      </w:r>
      <w:proofErr w:type="spellEnd"/>
      <w:r w:rsidRPr="00C42BF7">
        <w:t xml:space="preserve"> </w:t>
      </w:r>
      <w:proofErr w:type="spellStart"/>
      <w:r w:rsidRPr="00C42BF7">
        <w:t>personit</w:t>
      </w:r>
      <w:proofErr w:type="spellEnd"/>
      <w:r w:rsidRPr="00C42BF7">
        <w:t xml:space="preserve"> </w:t>
      </w:r>
      <w:proofErr w:type="spellStart"/>
      <w:r w:rsidRPr="00C42BF7">
        <w:t>tjetër</w:t>
      </w:r>
      <w:proofErr w:type="spellEnd"/>
      <w:r w:rsidRPr="00C42BF7">
        <w:t xml:space="preserve"> </w:t>
      </w:r>
      <w:proofErr w:type="spellStart"/>
      <w:r w:rsidRPr="00C42BF7">
        <w:t>për</w:t>
      </w:r>
      <w:proofErr w:type="spellEnd"/>
      <w:r w:rsidRPr="00C42BF7">
        <w:t xml:space="preserve"> </w:t>
      </w:r>
      <w:proofErr w:type="spellStart"/>
      <w:r w:rsidRPr="00C42BF7">
        <w:t>përdorim</w:t>
      </w:r>
      <w:proofErr w:type="spellEnd"/>
      <w:r w:rsidRPr="00C42BF7">
        <w:t xml:space="preserve"> </w:t>
      </w:r>
      <w:proofErr w:type="spellStart"/>
      <w:r w:rsidRPr="00C42BF7">
        <w:t>ose</w:t>
      </w:r>
      <w:proofErr w:type="spellEnd"/>
      <w:r w:rsidRPr="00C42BF7">
        <w:t xml:space="preserve"> </w:t>
      </w:r>
      <w:proofErr w:type="spellStart"/>
      <w:r w:rsidRPr="00C42BF7">
        <w:t>përdor</w:t>
      </w:r>
      <w:proofErr w:type="spellEnd"/>
      <w:r w:rsidRPr="00C42BF7">
        <w:t xml:space="preserve"> </w:t>
      </w:r>
      <w:proofErr w:type="spellStart"/>
      <w:r w:rsidRPr="00C42BF7">
        <w:t>letërnjoftimin</w:t>
      </w:r>
      <w:proofErr w:type="spellEnd"/>
      <w:r w:rsidRPr="00C42BF7">
        <w:t xml:space="preserve"> e </w:t>
      </w:r>
      <w:proofErr w:type="spellStart"/>
      <w:r w:rsidRPr="00C42BF7">
        <w:t>huaj</w:t>
      </w:r>
      <w:proofErr w:type="spellEnd"/>
      <w:r w:rsidRPr="00C42BF7">
        <w:t xml:space="preserve"> </w:t>
      </w:r>
      <w:proofErr w:type="spellStart"/>
      <w:r w:rsidRPr="00C42BF7">
        <w:t>si</w:t>
      </w:r>
      <w:proofErr w:type="spellEnd"/>
      <w:r w:rsidRPr="00C42BF7">
        <w:t xml:space="preserve">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vetin</w:t>
      </w:r>
      <w:proofErr w:type="spellEnd"/>
      <w:r w:rsidRPr="00C42BF7">
        <w:t>,</w:t>
      </w:r>
      <w:r w:rsidR="007B44E9" w:rsidRPr="00C42BF7">
        <w:t xml:space="preserve"> </w:t>
      </w:r>
      <w:proofErr w:type="spellStart"/>
      <w:r w:rsidR="00D44B20" w:rsidRPr="00C42BF7">
        <w:t>sipas</w:t>
      </w:r>
      <w:proofErr w:type="spellEnd"/>
      <w:r w:rsidRPr="00C42BF7">
        <w:t xml:space="preserve"> </w:t>
      </w:r>
      <w:proofErr w:type="spellStart"/>
      <w:r w:rsidRPr="00C42BF7">
        <w:t>paragrafit</w:t>
      </w:r>
      <w:proofErr w:type="spellEnd"/>
      <w:r w:rsidRPr="00C42BF7">
        <w:t xml:space="preserve"> 2 </w:t>
      </w:r>
      <w:proofErr w:type="spellStart"/>
      <w:r w:rsidRPr="00C42BF7">
        <w:t>dhe</w:t>
      </w:r>
      <w:proofErr w:type="spellEnd"/>
      <w:r w:rsidRPr="00C42BF7">
        <w:t xml:space="preserve"> 3 i </w:t>
      </w:r>
      <w:proofErr w:type="spellStart"/>
      <w:r w:rsidRPr="00C42BF7">
        <w:t>nenit</w:t>
      </w:r>
      <w:proofErr w:type="spellEnd"/>
      <w:r w:rsidRPr="00C42BF7">
        <w:t xml:space="preserve"> 4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këtij</w:t>
      </w:r>
      <w:proofErr w:type="spellEnd"/>
      <w:r w:rsidRPr="00C42BF7">
        <w:t xml:space="preserve"> </w:t>
      </w:r>
      <w:proofErr w:type="spellStart"/>
      <w:r w:rsidRPr="00C42BF7">
        <w:t>ligji</w:t>
      </w:r>
      <w:proofErr w:type="spellEnd"/>
      <w:r w:rsidRPr="00C42BF7">
        <w:t>;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  <w:ind w:left="720"/>
      </w:pPr>
      <w:r w:rsidRPr="00C42BF7">
        <w:t xml:space="preserve">3.2. </w:t>
      </w:r>
      <w:proofErr w:type="spellStart"/>
      <w:proofErr w:type="gramStart"/>
      <w:r w:rsidRPr="00C42BF7">
        <w:t>përdor</w:t>
      </w:r>
      <w:proofErr w:type="spellEnd"/>
      <w:proofErr w:type="gramEnd"/>
      <w:r w:rsidRPr="00C42BF7">
        <w:t xml:space="preserve"> </w:t>
      </w:r>
      <w:proofErr w:type="spellStart"/>
      <w:r w:rsidRPr="00C42BF7">
        <w:t>letërnjoftimin</w:t>
      </w:r>
      <w:proofErr w:type="spellEnd"/>
      <w:r w:rsidRPr="00C42BF7">
        <w:t xml:space="preserve"> </w:t>
      </w:r>
      <w:proofErr w:type="spellStart"/>
      <w:r w:rsidRPr="00C42BF7">
        <w:t>në</w:t>
      </w:r>
      <w:proofErr w:type="spellEnd"/>
      <w:r w:rsidRPr="00C42BF7">
        <w:t xml:space="preserve"> </w:t>
      </w:r>
      <w:proofErr w:type="spellStart"/>
      <w:r w:rsidRPr="00C42BF7">
        <w:t>kundërshtim</w:t>
      </w:r>
      <w:proofErr w:type="spellEnd"/>
      <w:r w:rsidRPr="00C42BF7">
        <w:t xml:space="preserve"> me </w:t>
      </w:r>
      <w:proofErr w:type="spellStart"/>
      <w:r w:rsidRPr="00C42BF7">
        <w:t>paragrafin</w:t>
      </w:r>
      <w:proofErr w:type="spellEnd"/>
      <w:r w:rsidRPr="00C42BF7">
        <w:t xml:space="preserve"> 1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nenit</w:t>
      </w:r>
      <w:proofErr w:type="spellEnd"/>
      <w:r w:rsidRPr="00C42BF7">
        <w:t xml:space="preserve"> 21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r w:rsidRPr="00C42BF7">
        <w:t>këtij</w:t>
      </w:r>
      <w:proofErr w:type="spellEnd"/>
      <w:r w:rsidRPr="00C42BF7">
        <w:t xml:space="preserve"> </w:t>
      </w:r>
      <w:proofErr w:type="spellStart"/>
      <w:r w:rsidRPr="00C42BF7">
        <w:t>ligji</w:t>
      </w:r>
      <w:proofErr w:type="spellEnd"/>
      <w:r w:rsidRPr="00C42BF7">
        <w:t>;</w:t>
      </w:r>
    </w:p>
    <w:p w:rsidR="00F94DF7" w:rsidRPr="00C42BF7" w:rsidRDefault="00F94DF7" w:rsidP="007E595A">
      <w:pPr>
        <w:autoSpaceDE w:val="0"/>
        <w:autoSpaceDN w:val="0"/>
        <w:adjustRightInd w:val="0"/>
        <w:spacing w:line="360" w:lineRule="auto"/>
      </w:pPr>
    </w:p>
    <w:p w:rsidR="00F94DF7" w:rsidRPr="00C42BF7" w:rsidRDefault="00F94DF7" w:rsidP="007E595A">
      <w:pPr>
        <w:spacing w:line="360" w:lineRule="auto"/>
      </w:pPr>
    </w:p>
    <w:p w:rsidR="00F632F6" w:rsidRPr="00C42BF7" w:rsidRDefault="00F94DF7" w:rsidP="00D216FB">
      <w:pPr>
        <w:spacing w:line="360" w:lineRule="auto"/>
        <w:rPr>
          <w:lang w:val="sq-AL"/>
        </w:rPr>
      </w:pPr>
      <w:r w:rsidRPr="00C42BF7">
        <w:t xml:space="preserve">4. </w:t>
      </w:r>
      <w:proofErr w:type="spellStart"/>
      <w:r w:rsidRPr="00C42BF7">
        <w:t>Afati</w:t>
      </w:r>
      <w:proofErr w:type="spellEnd"/>
      <w:r w:rsidRPr="00C42BF7">
        <w:t xml:space="preserve"> i </w:t>
      </w:r>
      <w:proofErr w:type="spellStart"/>
      <w:r w:rsidRPr="00C42BF7">
        <w:t>pagesës</w:t>
      </w:r>
      <w:proofErr w:type="spellEnd"/>
      <w:r w:rsidRPr="00C42BF7">
        <w:t xml:space="preserve"> </w:t>
      </w:r>
      <w:proofErr w:type="spellStart"/>
      <w:r w:rsidRPr="00C42BF7">
        <w:t>së</w:t>
      </w:r>
      <w:proofErr w:type="spellEnd"/>
      <w:r w:rsidRPr="00C42BF7">
        <w:t xml:space="preserve"> </w:t>
      </w:r>
      <w:proofErr w:type="spellStart"/>
      <w:r w:rsidRPr="00C42BF7">
        <w:t>gjobës</w:t>
      </w:r>
      <w:proofErr w:type="spellEnd"/>
      <w:r w:rsidRPr="00C42BF7">
        <w:t xml:space="preserve"> do </w:t>
      </w:r>
      <w:proofErr w:type="spellStart"/>
      <w:r w:rsidRPr="00C42BF7">
        <w:t>të</w:t>
      </w:r>
      <w:proofErr w:type="spellEnd"/>
      <w:r w:rsidRPr="00C42BF7">
        <w:t xml:space="preserve"> </w:t>
      </w:r>
      <w:proofErr w:type="spellStart"/>
      <w:proofErr w:type="gramStart"/>
      <w:r w:rsidRPr="00C42BF7">
        <w:t>jetë</w:t>
      </w:r>
      <w:proofErr w:type="spellEnd"/>
      <w:r w:rsidRPr="00C42BF7">
        <w:t xml:space="preserve"> </w:t>
      </w:r>
      <w:r w:rsidR="007B44E9" w:rsidRPr="00C42BF7">
        <w:t xml:space="preserve"> </w:t>
      </w:r>
      <w:proofErr w:type="spellStart"/>
      <w:r w:rsidR="007B44E9" w:rsidRPr="00C42BF7">
        <w:t>sipas</w:t>
      </w:r>
      <w:proofErr w:type="spellEnd"/>
      <w:proofErr w:type="gramEnd"/>
      <w:r w:rsidR="007B44E9" w:rsidRPr="00C42BF7">
        <w:t xml:space="preserve"> </w:t>
      </w:r>
      <w:proofErr w:type="spellStart"/>
      <w:r w:rsidR="007B44E9" w:rsidRPr="00C42BF7">
        <w:t>Ligjit</w:t>
      </w:r>
      <w:proofErr w:type="spellEnd"/>
      <w:r w:rsidR="007B44E9" w:rsidRPr="00C42BF7">
        <w:t xml:space="preserve"> </w:t>
      </w:r>
      <w:proofErr w:type="spellStart"/>
      <w:r w:rsidR="007B44E9" w:rsidRPr="00C42BF7">
        <w:t>nr</w:t>
      </w:r>
      <w:proofErr w:type="spellEnd"/>
      <w:r w:rsidR="007B44E9" w:rsidRPr="00C42BF7">
        <w:t>. 05/L-087 p</w:t>
      </w:r>
      <w:proofErr w:type="spellStart"/>
      <w:r w:rsidR="007B44E9" w:rsidRPr="00C42BF7">
        <w:rPr>
          <w:lang w:val="sq-AL"/>
        </w:rPr>
        <w:t>ër</w:t>
      </w:r>
      <w:proofErr w:type="spellEnd"/>
      <w:r w:rsidR="007B44E9" w:rsidRPr="00C42BF7">
        <w:rPr>
          <w:lang w:val="sq-AL"/>
        </w:rPr>
        <w:t xml:space="preserve"> </w:t>
      </w:r>
      <w:proofErr w:type="gramStart"/>
      <w:r w:rsidR="007B44E9" w:rsidRPr="00C42BF7">
        <w:rPr>
          <w:lang w:val="sq-AL"/>
        </w:rPr>
        <w:t>Kundërvajtje .</w:t>
      </w:r>
      <w:proofErr w:type="gramEnd"/>
      <w:r w:rsidR="007B44E9" w:rsidRPr="00C42BF7">
        <w:rPr>
          <w:lang w:val="sq-AL"/>
        </w:rPr>
        <w:t xml:space="preserve"> </w:t>
      </w:r>
    </w:p>
    <w:p w:rsidR="00B80FCA" w:rsidRPr="00C42BF7" w:rsidRDefault="00CC354F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Përgjegjëspër</w:t>
      </w:r>
      <w:proofErr w:type="spellEnd"/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zbatimin e këtij ligji </w:t>
      </w:r>
      <w:r w:rsidRPr="00C42BF7">
        <w:rPr>
          <w:rFonts w:ascii="Times New Roman" w:hAnsi="Times New Roman"/>
          <w:color w:val="auto"/>
          <w:sz w:val="24"/>
          <w:szCs w:val="24"/>
        </w:rPr>
        <w:t>është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Ministria e </w:t>
      </w:r>
      <w:r w:rsidRPr="00C42BF7">
        <w:rPr>
          <w:rFonts w:ascii="Times New Roman" w:hAnsi="Times New Roman"/>
          <w:color w:val="auto"/>
          <w:sz w:val="24"/>
          <w:szCs w:val="24"/>
        </w:rPr>
        <w:t>Punëve</w:t>
      </w:r>
      <w:r w:rsidR="007B44E9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7B44E9" w:rsidRPr="00C42BF7">
        <w:rPr>
          <w:rFonts w:ascii="Times New Roman" w:hAnsi="Times New Roman"/>
          <w:sz w:val="24"/>
          <w:szCs w:val="24"/>
        </w:rPr>
        <w:t>ë</w:t>
      </w:r>
      <w:r w:rsidR="004D6116" w:rsidRPr="00C42BF7">
        <w:rPr>
          <w:rFonts w:ascii="Times New Roman" w:hAnsi="Times New Roman"/>
          <w:color w:val="auto"/>
          <w:sz w:val="24"/>
          <w:szCs w:val="24"/>
        </w:rPr>
        <w:t xml:space="preserve"> Brendshme.</w:t>
      </w:r>
    </w:p>
    <w:p w:rsidR="004D6116" w:rsidRPr="00C42BF7" w:rsidRDefault="00B80FCA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Me hyrjen në fuqi të Ligjit të ri me ndryshimet e propozuara, 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qytetar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t n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are do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 xml:space="preserve"> ken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 xml:space="preserve"> mund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sin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 xml:space="preserve"> pajisen me let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 xml:space="preserve">rnjoftim si dhe do të </w:t>
      </w:r>
      <w:proofErr w:type="spellStart"/>
      <w:r w:rsidR="00BE103B" w:rsidRPr="00C42BF7">
        <w:rPr>
          <w:rFonts w:ascii="Times New Roman" w:hAnsi="Times New Roman"/>
          <w:color w:val="auto"/>
          <w:sz w:val="24"/>
          <w:szCs w:val="24"/>
        </w:rPr>
        <w:t>eliminohetmosharmonizimi</w:t>
      </w:r>
      <w:proofErr w:type="spellEnd"/>
      <w:r w:rsidR="00BE103B" w:rsidRPr="00C42BF7">
        <w:rPr>
          <w:rFonts w:ascii="Times New Roman" w:hAnsi="Times New Roman"/>
          <w:color w:val="auto"/>
          <w:sz w:val="24"/>
          <w:szCs w:val="24"/>
        </w:rPr>
        <w:t xml:space="preserve"> i dispozitave sanksionuese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 xml:space="preserve"> ligjit aktual me ligjin p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E103B" w:rsidRPr="00C42BF7">
        <w:rPr>
          <w:rFonts w:ascii="Times New Roman" w:hAnsi="Times New Roman"/>
          <w:color w:val="auto"/>
          <w:sz w:val="24"/>
          <w:szCs w:val="24"/>
        </w:rPr>
        <w:t>rvajtje.</w:t>
      </w:r>
    </w:p>
    <w:p w:rsidR="00F168A9" w:rsidRPr="00C42BF7" w:rsidRDefault="00B80FCA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Opsion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 xml:space="preserve">i </w:t>
      </w:r>
      <w:r w:rsidRPr="00C42BF7">
        <w:rPr>
          <w:rFonts w:ascii="Times New Roman" w:hAnsi="Times New Roman"/>
          <w:color w:val="auto"/>
          <w:sz w:val="24"/>
          <w:szCs w:val="24"/>
        </w:rPr>
        <w:t>3: Ndryshimi i qasjes ekzistuese të zbatim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>i</w:t>
      </w:r>
      <w:r w:rsidR="00D216FB" w:rsidRPr="00C42BF7">
        <w:rPr>
          <w:rFonts w:ascii="Times New Roman" w:hAnsi="Times New Roman"/>
          <w:color w:val="auto"/>
          <w:sz w:val="24"/>
          <w:szCs w:val="24"/>
        </w:rPr>
        <w:t>t</w:t>
      </w:r>
    </w:p>
    <w:p w:rsidR="0002749E" w:rsidRPr="00C42BF7" w:rsidRDefault="00556C7E" w:rsidP="007E595A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Mos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>-</w:t>
      </w:r>
      <w:r w:rsidRPr="00C42BF7">
        <w:rPr>
          <w:rFonts w:ascii="Times New Roman" w:hAnsi="Times New Roman"/>
          <w:color w:val="auto"/>
          <w:sz w:val="24"/>
          <w:szCs w:val="24"/>
        </w:rPr>
        <w:t>ndryshimi i baz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 Ligjore,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>rkat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>sisht vazhdimi i zbatimit të ligjit aktual do të pamundësonte dhënien e të drejtës së qytetarëve nën mos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hën 16 vjeçare për tu pajisur me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 xml:space="preserve"> letërnjoftime si dhe do të krijonte vështirësi në zbatim sidomos me rastin e zbatimit të dispozitave sanksionuese të cilat nuk janë në harmoni me ligjin e ri për kundërvajtje.  V</w:t>
      </w:r>
      <w:r w:rsidRPr="00C42BF7">
        <w:rPr>
          <w:rFonts w:ascii="Times New Roman" w:hAnsi="Times New Roman"/>
          <w:color w:val="auto"/>
          <w:sz w:val="24"/>
          <w:szCs w:val="24"/>
        </w:rPr>
        <w:t>et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m ndryshimi i m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nyr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>s s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 xml:space="preserve"> zbatimit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saj do t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mund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sonte pajisjen 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>me letërnjoftim p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>r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 xml:space="preserve"> gjith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AD0607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>t, pa dallim moshe</w:t>
      </w:r>
      <w:r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B80FCA" w:rsidRPr="00C42BF7" w:rsidRDefault="00B80FCA" w:rsidP="00060290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>Kapitulli V: Përmbledhja e opsionev</w:t>
      </w:r>
      <w:r w:rsidR="00F168A9" w:rsidRPr="00C42BF7">
        <w:rPr>
          <w:b/>
          <w:lang w:val="sq-AL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E595A" w:rsidRPr="00C42BF7" w:rsidTr="007F56F2">
        <w:tc>
          <w:tcPr>
            <w:tcW w:w="2214" w:type="dxa"/>
          </w:tcPr>
          <w:p w:rsidR="00873DE6" w:rsidRPr="00C42BF7" w:rsidRDefault="00873DE6" w:rsidP="007F56F2">
            <w:pPr>
              <w:jc w:val="center"/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Karakteristikat kryesore</w:t>
            </w:r>
          </w:p>
        </w:tc>
        <w:tc>
          <w:tcPr>
            <w:tcW w:w="2214" w:type="dxa"/>
          </w:tcPr>
          <w:p w:rsidR="00873DE6" w:rsidRPr="00C42BF7" w:rsidRDefault="00873DE6" w:rsidP="007F56F2">
            <w:pPr>
              <w:jc w:val="center"/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Opsioni 1</w:t>
            </w:r>
          </w:p>
        </w:tc>
        <w:tc>
          <w:tcPr>
            <w:tcW w:w="2214" w:type="dxa"/>
          </w:tcPr>
          <w:p w:rsidR="00873DE6" w:rsidRPr="00C42BF7" w:rsidRDefault="00873DE6" w:rsidP="007F56F2">
            <w:pPr>
              <w:jc w:val="center"/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Opsioni 2</w:t>
            </w:r>
          </w:p>
        </w:tc>
        <w:tc>
          <w:tcPr>
            <w:tcW w:w="2214" w:type="dxa"/>
          </w:tcPr>
          <w:p w:rsidR="00873DE6" w:rsidRPr="00C42BF7" w:rsidRDefault="00873DE6" w:rsidP="0002749E">
            <w:pPr>
              <w:jc w:val="center"/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Opsioni</w:t>
            </w:r>
            <w:r w:rsidR="0002749E" w:rsidRPr="00C42BF7">
              <w:rPr>
                <w:b/>
                <w:lang w:val="sq-AL"/>
              </w:rPr>
              <w:t xml:space="preserve"> 3</w:t>
            </w:r>
          </w:p>
        </w:tc>
      </w:tr>
      <w:tr w:rsidR="007E595A" w:rsidRPr="00C42BF7" w:rsidTr="007F56F2">
        <w:tc>
          <w:tcPr>
            <w:tcW w:w="2214" w:type="dxa"/>
          </w:tcPr>
          <w:p w:rsidR="00873DE6" w:rsidRPr="00C42BF7" w:rsidRDefault="00873DE6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Karakteristikat kryesore të opsionit.</w:t>
            </w:r>
          </w:p>
        </w:tc>
        <w:tc>
          <w:tcPr>
            <w:tcW w:w="2214" w:type="dxa"/>
          </w:tcPr>
          <w:p w:rsidR="00873DE6" w:rsidRPr="00C42BF7" w:rsidRDefault="00873DE6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 xml:space="preserve">Mbetet situatë e njëjtë, </w:t>
            </w:r>
            <w:r w:rsidR="00385C7A" w:rsidRPr="00C42BF7">
              <w:rPr>
                <w:lang w:val="sq-AL"/>
              </w:rPr>
              <w:t>nuk u mundësohet  edhe qytetar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ve nga lindja deri n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mosh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n 16 vje</w:t>
            </w:r>
            <w:r w:rsidR="007E595A" w:rsidRPr="00C42BF7">
              <w:rPr>
                <w:lang w:val="sq-AL"/>
              </w:rPr>
              <w:t>ç</w:t>
            </w:r>
            <w:r w:rsidR="00385C7A" w:rsidRPr="00C42BF7">
              <w:rPr>
                <w:lang w:val="sq-AL"/>
              </w:rPr>
              <w:t>are 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pajisen me let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rnjoftim, si dhe mos harmonizimi i dispozitave sanksionuese 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ligjit aktual me ligjin p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 kund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rvajtje.  </w:t>
            </w:r>
          </w:p>
          <w:p w:rsidR="00873DE6" w:rsidRPr="00C42BF7" w:rsidRDefault="00873DE6" w:rsidP="00D44B20">
            <w:pPr>
              <w:jc w:val="both"/>
              <w:rPr>
                <w:lang w:val="sq-AL"/>
              </w:rPr>
            </w:pPr>
          </w:p>
          <w:p w:rsidR="00873DE6" w:rsidRPr="00C42BF7" w:rsidRDefault="00873DE6" w:rsidP="007F56F2">
            <w:pPr>
              <w:jc w:val="center"/>
              <w:rPr>
                <w:lang w:val="sq-AL"/>
              </w:rPr>
            </w:pPr>
          </w:p>
        </w:tc>
        <w:tc>
          <w:tcPr>
            <w:tcW w:w="2214" w:type="dxa"/>
          </w:tcPr>
          <w:p w:rsidR="00873DE6" w:rsidRPr="00C42BF7" w:rsidRDefault="00873DE6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 xml:space="preserve">Ndryshimi dhe plotësimi i ligjit aktual: </w:t>
            </w:r>
            <w:r w:rsidR="00385C7A" w:rsidRPr="00C42BF7">
              <w:rPr>
                <w:lang w:val="sq-AL"/>
              </w:rPr>
              <w:t>u mundësohet  edhe qytetar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ve nga lindja deri n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mosh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n 16 vje</w:t>
            </w:r>
            <w:r w:rsidR="007E595A" w:rsidRPr="00C42BF7">
              <w:rPr>
                <w:lang w:val="sq-AL"/>
              </w:rPr>
              <w:t>ç</w:t>
            </w:r>
            <w:r w:rsidR="00385C7A" w:rsidRPr="00C42BF7">
              <w:rPr>
                <w:lang w:val="sq-AL"/>
              </w:rPr>
              <w:t>are 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pajisen me let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rnjoftim, si dhe b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het harmonizimi i dispozitave sanksionuese 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ligjit aktual me ligjin p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 kund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rvajtje.</w:t>
            </w:r>
          </w:p>
          <w:p w:rsidR="00873DE6" w:rsidRPr="00C42BF7" w:rsidRDefault="00873DE6" w:rsidP="00873DE6">
            <w:pPr>
              <w:jc w:val="center"/>
              <w:rPr>
                <w:lang w:val="sq-AL"/>
              </w:rPr>
            </w:pPr>
          </w:p>
          <w:p w:rsidR="00873DE6" w:rsidRPr="00C42BF7" w:rsidRDefault="00873DE6" w:rsidP="00873DE6">
            <w:pPr>
              <w:jc w:val="center"/>
              <w:rPr>
                <w:lang w:val="sq-AL"/>
              </w:rPr>
            </w:pPr>
          </w:p>
        </w:tc>
        <w:tc>
          <w:tcPr>
            <w:tcW w:w="2214" w:type="dxa"/>
          </w:tcPr>
          <w:p w:rsidR="00873DE6" w:rsidRPr="00C42BF7" w:rsidRDefault="001E781C" w:rsidP="00385C7A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Nëse baza</w:t>
            </w:r>
            <w:r w:rsidR="008B15B5" w:rsidRPr="00C42BF7">
              <w:rPr>
                <w:lang w:val="sq-AL"/>
              </w:rPr>
              <w:t xml:space="preserve"> ligjore dhe politika ekzistuese q</w:t>
            </w:r>
            <w:r w:rsidR="00AD0607" w:rsidRPr="00C42BF7">
              <w:rPr>
                <w:lang w:val="sq-AL"/>
              </w:rPr>
              <w:t>ë</w:t>
            </w:r>
            <w:r w:rsidR="008B15B5" w:rsidRPr="00C42BF7">
              <w:rPr>
                <w:lang w:val="sq-AL"/>
              </w:rPr>
              <w:t xml:space="preserve">ndron, </w:t>
            </w:r>
            <w:proofErr w:type="spellStart"/>
            <w:r w:rsidR="00AD0607" w:rsidRPr="00C42BF7">
              <w:rPr>
                <w:lang w:val="sq-AL"/>
              </w:rPr>
              <w:t>atëherë</w:t>
            </w:r>
            <w:r w:rsidR="0002749E" w:rsidRPr="00C42BF7">
              <w:rPr>
                <w:lang w:val="sq-AL"/>
              </w:rPr>
              <w:t>ë</w:t>
            </w:r>
            <w:r w:rsidR="008B15B5" w:rsidRPr="00C42BF7">
              <w:rPr>
                <w:lang w:val="sq-AL"/>
              </w:rPr>
              <w:t>sht</w:t>
            </w:r>
            <w:r w:rsidR="0002749E" w:rsidRPr="00C42BF7">
              <w:rPr>
                <w:lang w:val="sq-AL"/>
              </w:rPr>
              <w:t>ë</w:t>
            </w:r>
            <w:proofErr w:type="spellEnd"/>
            <w:r w:rsidR="00385C7A" w:rsidRPr="00C42BF7">
              <w:rPr>
                <w:lang w:val="sq-AL"/>
              </w:rPr>
              <w:t xml:space="preserve"> e pamundur </w:t>
            </w:r>
            <w:proofErr w:type="spellStart"/>
            <w:r w:rsidR="00385C7A" w:rsidRPr="00C42BF7">
              <w:rPr>
                <w:lang w:val="sq-AL"/>
              </w:rPr>
              <w:t>q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qytetar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t</w:t>
            </w:r>
            <w:proofErr w:type="spellEnd"/>
            <w:r w:rsidR="00385C7A" w:rsidRPr="00C42BF7">
              <w:rPr>
                <w:lang w:val="sq-AL"/>
              </w:rPr>
              <w:t xml:space="preserve"> nga lindja deri n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mosh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n 16 vje</w:t>
            </w:r>
            <w:r w:rsidR="007E595A" w:rsidRPr="00C42BF7">
              <w:rPr>
                <w:lang w:val="sq-AL"/>
              </w:rPr>
              <w:t>ç</w:t>
            </w:r>
            <w:r w:rsidR="00385C7A" w:rsidRPr="00C42BF7">
              <w:rPr>
                <w:lang w:val="sq-AL"/>
              </w:rPr>
              <w:t>are 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pajisen me let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rnjoftim, si dhe  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b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het harmonizimi i dispozitave sanksionuese t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 xml:space="preserve"> ligjit aktual me ligjin p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 kund</w:t>
            </w:r>
            <w:r w:rsidR="007E595A" w:rsidRPr="00C42BF7">
              <w:rPr>
                <w:lang w:val="sq-AL"/>
              </w:rPr>
              <w:t>ë</w:t>
            </w:r>
            <w:r w:rsidR="00385C7A" w:rsidRPr="00C42BF7">
              <w:rPr>
                <w:lang w:val="sq-AL"/>
              </w:rPr>
              <w:t>rvajtje.</w:t>
            </w: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B40640" w:rsidP="00E636A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 xml:space="preserve">Segmenti i popullsisë / sektori / rajoni i </w:t>
            </w:r>
            <w:proofErr w:type="spellStart"/>
            <w:r w:rsidRPr="00C42BF7">
              <w:rPr>
                <w:lang w:val="sq-AL"/>
              </w:rPr>
              <w:t>shënjestruar</w:t>
            </w:r>
            <w:proofErr w:type="spellEnd"/>
            <w:r w:rsidRPr="00C42BF7">
              <w:rPr>
                <w:lang w:val="sq-AL"/>
              </w:rPr>
              <w:t>.</w:t>
            </w:r>
          </w:p>
        </w:tc>
        <w:tc>
          <w:tcPr>
            <w:tcW w:w="2214" w:type="dxa"/>
          </w:tcPr>
          <w:p w:rsidR="00B40640" w:rsidRPr="00C42BF7" w:rsidRDefault="00B40640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Qytetarët e Republikës së Kos</w:t>
            </w:r>
            <w:r w:rsidR="00554E8A" w:rsidRPr="00C42BF7">
              <w:rPr>
                <w:lang w:val="sq-AL"/>
              </w:rPr>
              <w:t>ovës, qytetar</w:t>
            </w:r>
            <w:r w:rsidR="007E595A" w:rsidRPr="00C42BF7">
              <w:rPr>
                <w:lang w:val="sq-AL"/>
              </w:rPr>
              <w:t>ë</w:t>
            </w:r>
            <w:r w:rsidR="00554E8A" w:rsidRPr="00C42BF7">
              <w:rPr>
                <w:lang w:val="sq-AL"/>
              </w:rPr>
              <w:t>ve nga lindja deri n</w:t>
            </w:r>
            <w:r w:rsidR="007E595A" w:rsidRPr="00C42BF7">
              <w:rPr>
                <w:lang w:val="sq-AL"/>
              </w:rPr>
              <w:t>ë</w:t>
            </w:r>
            <w:r w:rsidR="00554E8A" w:rsidRPr="00C42BF7">
              <w:rPr>
                <w:lang w:val="sq-AL"/>
              </w:rPr>
              <w:t xml:space="preserve"> mosh</w:t>
            </w:r>
            <w:r w:rsidR="007E595A" w:rsidRPr="00C42BF7">
              <w:rPr>
                <w:lang w:val="sq-AL"/>
              </w:rPr>
              <w:t>ë</w:t>
            </w:r>
            <w:r w:rsidR="00554E8A" w:rsidRPr="00C42BF7">
              <w:rPr>
                <w:lang w:val="sq-AL"/>
              </w:rPr>
              <w:t>n 16 vje</w:t>
            </w:r>
            <w:r w:rsidR="007E595A" w:rsidRPr="00C42BF7">
              <w:rPr>
                <w:lang w:val="sq-AL"/>
              </w:rPr>
              <w:t>ç</w:t>
            </w:r>
            <w:r w:rsidR="00554E8A" w:rsidRPr="00C42BF7">
              <w:rPr>
                <w:lang w:val="sq-AL"/>
              </w:rPr>
              <w:t xml:space="preserve">are, </w:t>
            </w:r>
            <w:r w:rsidR="00554E8A" w:rsidRPr="00C42BF7">
              <w:rPr>
                <w:lang w:val="sq-AL"/>
              </w:rPr>
              <w:lastRenderedPageBreak/>
              <w:t>të cilët do t</w:t>
            </w:r>
            <w:r w:rsidR="007E595A" w:rsidRPr="00C42BF7">
              <w:rPr>
                <w:lang w:val="sq-AL"/>
              </w:rPr>
              <w:t>ë</w:t>
            </w:r>
            <w:r w:rsidR="00554E8A" w:rsidRPr="00C42BF7">
              <w:rPr>
                <w:lang w:val="sq-AL"/>
              </w:rPr>
              <w:t xml:space="preserve"> </w:t>
            </w:r>
            <w:proofErr w:type="spellStart"/>
            <w:r w:rsidR="00554E8A" w:rsidRPr="00C42BF7">
              <w:rPr>
                <w:lang w:val="sq-AL"/>
              </w:rPr>
              <w:t>të</w:t>
            </w:r>
            <w:proofErr w:type="spellEnd"/>
            <w:r w:rsidR="00554E8A" w:rsidRPr="00C42BF7">
              <w:rPr>
                <w:lang w:val="sq-AL"/>
              </w:rPr>
              <w:t xml:space="preserve"> pajise</w:t>
            </w:r>
            <w:r w:rsidRPr="00C42BF7">
              <w:rPr>
                <w:lang w:val="sq-AL"/>
              </w:rPr>
              <w:t>n me letërnjoftim.</w:t>
            </w:r>
          </w:p>
        </w:tc>
        <w:tc>
          <w:tcPr>
            <w:tcW w:w="2214" w:type="dxa"/>
          </w:tcPr>
          <w:p w:rsidR="00B40640" w:rsidRPr="00C42BF7" w:rsidRDefault="00554E8A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lastRenderedPageBreak/>
              <w:t>Qytetarët e Republikës së Kosovës, qytetar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ve nga lindja deri 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mosh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n 16 vje</w:t>
            </w:r>
            <w:r w:rsidR="007E595A" w:rsidRPr="00C42BF7">
              <w:rPr>
                <w:lang w:val="sq-AL"/>
              </w:rPr>
              <w:t>ç</w:t>
            </w:r>
            <w:r w:rsidRPr="00C42BF7">
              <w:rPr>
                <w:lang w:val="sq-AL"/>
              </w:rPr>
              <w:t xml:space="preserve">are, </w:t>
            </w:r>
            <w:r w:rsidRPr="00C42BF7">
              <w:rPr>
                <w:lang w:val="sq-AL"/>
              </w:rPr>
              <w:lastRenderedPageBreak/>
              <w:t>të cilët do t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</w:t>
            </w:r>
            <w:proofErr w:type="spellStart"/>
            <w:r w:rsidRPr="00C42BF7">
              <w:rPr>
                <w:lang w:val="sq-AL"/>
              </w:rPr>
              <w:t>të</w:t>
            </w:r>
            <w:proofErr w:type="spellEnd"/>
            <w:r w:rsidRPr="00C42BF7">
              <w:rPr>
                <w:lang w:val="sq-AL"/>
              </w:rPr>
              <w:t xml:space="preserve"> pajisen me letërnjoftim.</w:t>
            </w:r>
          </w:p>
        </w:tc>
        <w:tc>
          <w:tcPr>
            <w:tcW w:w="2214" w:type="dxa"/>
          </w:tcPr>
          <w:p w:rsidR="00B40640" w:rsidRPr="00C42BF7" w:rsidRDefault="00554E8A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lastRenderedPageBreak/>
              <w:t>Qytetarët e Republikës së Kosovës, qytetar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ve nga lindja deri 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mosh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n 16 vje</w:t>
            </w:r>
            <w:r w:rsidR="007E595A" w:rsidRPr="00C42BF7">
              <w:rPr>
                <w:lang w:val="sq-AL"/>
              </w:rPr>
              <w:t>ç</w:t>
            </w:r>
            <w:r w:rsidRPr="00C42BF7">
              <w:rPr>
                <w:lang w:val="sq-AL"/>
              </w:rPr>
              <w:t xml:space="preserve">are, </w:t>
            </w:r>
            <w:r w:rsidRPr="00C42BF7">
              <w:rPr>
                <w:lang w:val="sq-AL"/>
              </w:rPr>
              <w:lastRenderedPageBreak/>
              <w:t>të cilët do t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</w:t>
            </w:r>
            <w:proofErr w:type="spellStart"/>
            <w:r w:rsidRPr="00C42BF7">
              <w:rPr>
                <w:lang w:val="sq-AL"/>
              </w:rPr>
              <w:t>të</w:t>
            </w:r>
            <w:proofErr w:type="spellEnd"/>
            <w:r w:rsidRPr="00C42BF7">
              <w:rPr>
                <w:lang w:val="sq-AL"/>
              </w:rPr>
              <w:t xml:space="preserve"> pajisen me letërnjoftim.</w:t>
            </w: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B40640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lastRenderedPageBreak/>
              <w:t>Karakteristikat e zbatimit – kush është përgjegjës – një resor i Qeverisë (cili), sektori privat, qytetarët.</w:t>
            </w:r>
          </w:p>
        </w:tc>
        <w:tc>
          <w:tcPr>
            <w:tcW w:w="2214" w:type="dxa"/>
          </w:tcPr>
          <w:p w:rsidR="00B40640" w:rsidRPr="001422CA" w:rsidRDefault="00B40640" w:rsidP="00D44B20">
            <w:pPr>
              <w:jc w:val="both"/>
              <w:rPr>
                <w:lang w:val="sq-AL"/>
              </w:rPr>
            </w:pPr>
            <w:r w:rsidRPr="001422CA">
              <w:rPr>
                <w:lang w:val="sq-AL"/>
              </w:rPr>
              <w:t xml:space="preserve">Përgjegjës për zbatim është Ministria e Punëve të Brendshme </w:t>
            </w:r>
            <w:r w:rsidR="007B3A6A" w:rsidRPr="001422CA">
              <w:rPr>
                <w:lang w:val="sq-AL"/>
              </w:rPr>
              <w:t>dhe qytetarët</w:t>
            </w:r>
          </w:p>
        </w:tc>
        <w:tc>
          <w:tcPr>
            <w:tcW w:w="2214" w:type="dxa"/>
          </w:tcPr>
          <w:p w:rsidR="00B40640" w:rsidRPr="001422CA" w:rsidRDefault="00B40640" w:rsidP="00D44B20">
            <w:pPr>
              <w:jc w:val="both"/>
              <w:rPr>
                <w:lang w:val="sq-AL"/>
              </w:rPr>
            </w:pPr>
            <w:r w:rsidRPr="001422CA">
              <w:rPr>
                <w:lang w:val="sq-AL"/>
              </w:rPr>
              <w:t xml:space="preserve">Përgjegjës për zbatim është Ministria e Punëve të Brendshme </w:t>
            </w:r>
            <w:r w:rsidR="007B3A6A" w:rsidRPr="001422CA">
              <w:rPr>
                <w:lang w:val="sq-AL"/>
              </w:rPr>
              <w:t>dhe qytetarët</w:t>
            </w:r>
          </w:p>
        </w:tc>
        <w:tc>
          <w:tcPr>
            <w:tcW w:w="2214" w:type="dxa"/>
          </w:tcPr>
          <w:p w:rsidR="00B40640" w:rsidRPr="001422CA" w:rsidRDefault="00B40640" w:rsidP="00D44B20">
            <w:pPr>
              <w:jc w:val="both"/>
              <w:rPr>
                <w:lang w:val="sq-AL"/>
              </w:rPr>
            </w:pPr>
            <w:r w:rsidRPr="001422CA">
              <w:rPr>
                <w:lang w:val="sq-AL"/>
              </w:rPr>
              <w:t xml:space="preserve">Përgjegjës për zbatim është Ministria e Punëve të Brendshme </w:t>
            </w:r>
            <w:r w:rsidR="007B3A6A" w:rsidRPr="001422CA">
              <w:rPr>
                <w:lang w:val="sq-AL"/>
              </w:rPr>
              <w:t>dhe qytetarët</w:t>
            </w: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106493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Administrimi</w:t>
            </w:r>
            <w:r w:rsidR="00B40640" w:rsidRPr="00C42BF7">
              <w:rPr>
                <w:lang w:val="sq-AL"/>
              </w:rPr>
              <w:t xml:space="preserve"> ose zbatimi i programit ose shërbimit</w:t>
            </w:r>
          </w:p>
        </w:tc>
        <w:tc>
          <w:tcPr>
            <w:tcW w:w="2214" w:type="dxa"/>
          </w:tcPr>
          <w:p w:rsidR="00B40640" w:rsidRPr="00C42BF7" w:rsidRDefault="00554E8A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Zbatimin dhe mbikëqyrjen e b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Ministria e Pun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ve t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Brendshme. </w:t>
            </w:r>
          </w:p>
        </w:tc>
        <w:tc>
          <w:tcPr>
            <w:tcW w:w="2214" w:type="dxa"/>
          </w:tcPr>
          <w:p w:rsidR="00B40640" w:rsidRPr="00C42BF7" w:rsidRDefault="00554E8A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Zbatimin dhe mbikëqyrjen e b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Ministria e Pun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ve t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Brendshme.</w:t>
            </w:r>
          </w:p>
        </w:tc>
        <w:tc>
          <w:tcPr>
            <w:tcW w:w="2214" w:type="dxa"/>
          </w:tcPr>
          <w:p w:rsidR="00B40640" w:rsidRPr="00C42BF7" w:rsidRDefault="00554E8A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Zbatimin dhe mbikëqyrjen e b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Ministria e Pun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>ve t</w:t>
            </w:r>
            <w:r w:rsidR="007E595A" w:rsidRPr="00C42BF7">
              <w:rPr>
                <w:lang w:val="sq-AL"/>
              </w:rPr>
              <w:t>ë</w:t>
            </w:r>
            <w:r w:rsidRPr="00C42BF7">
              <w:rPr>
                <w:lang w:val="sq-AL"/>
              </w:rPr>
              <w:t xml:space="preserve"> Brendshme.</w:t>
            </w: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B40640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 xml:space="preserve">Ligjet, aktet nënligjore, ndryshimet dhe plotësimet e ligjeve ekzistuese si dhe zbatimi dhe dënimet. </w:t>
            </w:r>
          </w:p>
        </w:tc>
        <w:tc>
          <w:tcPr>
            <w:tcW w:w="2214" w:type="dxa"/>
          </w:tcPr>
          <w:p w:rsidR="00B40640" w:rsidRPr="00C42BF7" w:rsidRDefault="00106493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Pa ndryshime</w:t>
            </w:r>
          </w:p>
        </w:tc>
        <w:tc>
          <w:tcPr>
            <w:tcW w:w="2214" w:type="dxa"/>
          </w:tcPr>
          <w:p w:rsidR="00B40640" w:rsidRPr="00C42BF7" w:rsidRDefault="00B40640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Ndr</w:t>
            </w:r>
            <w:r w:rsidR="00554E8A" w:rsidRPr="00C42BF7">
              <w:rPr>
                <w:lang w:val="sq-AL"/>
              </w:rPr>
              <w:t>yshimi apo plotësimi i Ligjit 05</w:t>
            </w:r>
            <w:r w:rsidRPr="00C42BF7">
              <w:rPr>
                <w:lang w:val="sq-AL"/>
              </w:rPr>
              <w:t>-L-</w:t>
            </w:r>
            <w:r w:rsidR="00554E8A" w:rsidRPr="00C42BF7">
              <w:rPr>
                <w:lang w:val="sq-AL"/>
              </w:rPr>
              <w:t>015</w:t>
            </w:r>
            <w:r w:rsidRPr="00C42BF7">
              <w:rPr>
                <w:lang w:val="sq-AL"/>
              </w:rPr>
              <w:t xml:space="preserve"> për  </w:t>
            </w:r>
            <w:r w:rsidR="00554E8A" w:rsidRPr="00C42BF7">
              <w:rPr>
                <w:lang w:val="sq-AL"/>
              </w:rPr>
              <w:t>Let</w:t>
            </w:r>
            <w:r w:rsidR="007E595A" w:rsidRPr="00C42BF7">
              <w:rPr>
                <w:lang w:val="sq-AL"/>
              </w:rPr>
              <w:t>ë</w:t>
            </w:r>
            <w:r w:rsidR="00554E8A" w:rsidRPr="00C42BF7">
              <w:rPr>
                <w:lang w:val="sq-AL"/>
              </w:rPr>
              <w:t>rnjoftim</w:t>
            </w:r>
            <w:r w:rsidRPr="00C42BF7">
              <w:rPr>
                <w:lang w:val="sq-AL"/>
              </w:rPr>
              <w:t xml:space="preserve">, si dhe ndryshimi </w:t>
            </w:r>
            <w:r w:rsidR="00554E8A" w:rsidRPr="00C42BF7">
              <w:rPr>
                <w:lang w:val="sq-AL"/>
              </w:rPr>
              <w:t>i</w:t>
            </w:r>
            <w:r w:rsidRPr="00C42BF7">
              <w:rPr>
                <w:lang w:val="sq-AL"/>
              </w:rPr>
              <w:t xml:space="preserve"> akteve nën-ligjore përkatëse</w:t>
            </w:r>
            <w:r w:rsidR="00554E8A" w:rsidRPr="00C42BF7">
              <w:rPr>
                <w:lang w:val="sq-AL"/>
              </w:rPr>
              <w:t>.</w:t>
            </w:r>
          </w:p>
        </w:tc>
        <w:tc>
          <w:tcPr>
            <w:tcW w:w="2214" w:type="dxa"/>
          </w:tcPr>
          <w:p w:rsidR="008B15B5" w:rsidRPr="00C42BF7" w:rsidRDefault="00106493" w:rsidP="00D44B2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Pa ndryshime</w:t>
            </w:r>
          </w:p>
          <w:p w:rsidR="008B15B5" w:rsidRPr="00C42BF7" w:rsidRDefault="008B15B5" w:rsidP="00D44B20">
            <w:pPr>
              <w:jc w:val="both"/>
              <w:rPr>
                <w:lang w:val="sq-AL"/>
              </w:rPr>
            </w:pPr>
          </w:p>
          <w:p w:rsidR="0002749E" w:rsidRPr="00C42BF7" w:rsidRDefault="0002749E" w:rsidP="00D44B20">
            <w:pPr>
              <w:jc w:val="both"/>
              <w:rPr>
                <w:lang w:val="sq-AL"/>
              </w:rPr>
            </w:pP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B40640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Stimulimet ose mos stimulimet ekonomike – subvencionet ose taksat.</w:t>
            </w:r>
          </w:p>
        </w:tc>
        <w:tc>
          <w:tcPr>
            <w:tcW w:w="2214" w:type="dxa"/>
          </w:tcPr>
          <w:p w:rsidR="00B40640" w:rsidRPr="00C42BF7" w:rsidRDefault="00D44B20" w:rsidP="007F56F2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Buxheti i</w:t>
            </w:r>
            <w:r w:rsidR="00B40640" w:rsidRPr="00C42BF7">
              <w:rPr>
                <w:lang w:val="sq-AL"/>
              </w:rPr>
              <w:t xml:space="preserve"> aprovuar </w:t>
            </w:r>
          </w:p>
        </w:tc>
        <w:tc>
          <w:tcPr>
            <w:tcW w:w="2214" w:type="dxa"/>
          </w:tcPr>
          <w:p w:rsidR="00B40640" w:rsidRPr="00C42BF7" w:rsidRDefault="00B40640" w:rsidP="00D44B20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 xml:space="preserve">Buxheti </w:t>
            </w:r>
            <w:r w:rsidR="00D44B20" w:rsidRPr="00C42BF7">
              <w:rPr>
                <w:lang w:val="sq-AL"/>
              </w:rPr>
              <w:t>i</w:t>
            </w:r>
            <w:r w:rsidRPr="00C42BF7">
              <w:rPr>
                <w:lang w:val="sq-AL"/>
              </w:rPr>
              <w:t xml:space="preserve"> aprovuar</w:t>
            </w:r>
          </w:p>
        </w:tc>
        <w:tc>
          <w:tcPr>
            <w:tcW w:w="2214" w:type="dxa"/>
          </w:tcPr>
          <w:p w:rsidR="00B40640" w:rsidRPr="00C42BF7" w:rsidRDefault="00B40640" w:rsidP="00D44B20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 xml:space="preserve">Buxheti </w:t>
            </w:r>
            <w:r w:rsidR="00D44B20" w:rsidRPr="00C42BF7">
              <w:rPr>
                <w:lang w:val="sq-AL"/>
              </w:rPr>
              <w:t>i</w:t>
            </w:r>
            <w:r w:rsidRPr="00C42BF7">
              <w:rPr>
                <w:lang w:val="sq-AL"/>
              </w:rPr>
              <w:t xml:space="preserve"> aprovuar</w:t>
            </w: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B40640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Fushatat e edukimit dhe komunikimit.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Nuk ka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Konferencë për media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Nuk ka</w:t>
            </w: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B40640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Udhëzimet dhe kodet.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Nuk ka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Nuk ka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Nuk ka</w:t>
            </w:r>
          </w:p>
        </w:tc>
      </w:tr>
      <w:tr w:rsidR="007E595A" w:rsidRPr="00C42BF7" w:rsidTr="007F56F2">
        <w:tc>
          <w:tcPr>
            <w:tcW w:w="2214" w:type="dxa"/>
          </w:tcPr>
          <w:p w:rsidR="00B40640" w:rsidRPr="00C42BF7" w:rsidRDefault="00B40640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Afatet kohore – kur hyn në fuqi opsioni.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I vazhdueshëm</w:t>
            </w:r>
          </w:p>
        </w:tc>
        <w:tc>
          <w:tcPr>
            <w:tcW w:w="2214" w:type="dxa"/>
          </w:tcPr>
          <w:p w:rsidR="00B40640" w:rsidRPr="00C42BF7" w:rsidRDefault="00106493" w:rsidP="007F56F2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K</w:t>
            </w:r>
            <w:r w:rsidR="00020300" w:rsidRPr="00C42BF7">
              <w:rPr>
                <w:lang w:val="sq-AL"/>
              </w:rPr>
              <w:t>4 2018</w:t>
            </w:r>
          </w:p>
        </w:tc>
        <w:tc>
          <w:tcPr>
            <w:tcW w:w="2214" w:type="dxa"/>
          </w:tcPr>
          <w:p w:rsidR="00B40640" w:rsidRPr="00C42BF7" w:rsidRDefault="00020300" w:rsidP="00020300">
            <w:pPr>
              <w:jc w:val="both"/>
              <w:rPr>
                <w:lang w:val="sq-AL"/>
              </w:rPr>
            </w:pPr>
            <w:r w:rsidRPr="00C42BF7">
              <w:rPr>
                <w:lang w:val="sq-AL"/>
              </w:rPr>
              <w:t>K4</w:t>
            </w:r>
            <w:r w:rsidR="00106493" w:rsidRPr="00C42BF7">
              <w:rPr>
                <w:lang w:val="sq-AL"/>
              </w:rPr>
              <w:t xml:space="preserve"> 201</w:t>
            </w:r>
            <w:r w:rsidRPr="00C42BF7">
              <w:rPr>
                <w:lang w:val="sq-AL"/>
              </w:rPr>
              <w:t>8</w:t>
            </w:r>
          </w:p>
        </w:tc>
      </w:tr>
    </w:tbl>
    <w:p w:rsidR="00421931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Si opsion</w:t>
      </w:r>
      <w:r w:rsidR="00060290" w:rsidRPr="00C42BF7">
        <w:rPr>
          <w:rFonts w:ascii="Times New Roman" w:hAnsi="Times New Roman"/>
          <w:color w:val="auto"/>
          <w:sz w:val="24"/>
          <w:szCs w:val="24"/>
        </w:rPr>
        <w:t xml:space="preserve"> i 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rekomanduar është 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plot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sim ndryshimi i Ligjit nr.</w:t>
      </w:r>
      <w:r w:rsidR="008F7C7C" w:rsidRPr="00C42BF7">
        <w:rPr>
          <w:rFonts w:ascii="Times New Roman" w:hAnsi="Times New Roman"/>
          <w:color w:val="auto"/>
          <w:sz w:val="24"/>
          <w:szCs w:val="24"/>
        </w:rPr>
        <w:t>05/L-015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për Letërnjoftim. </w:t>
      </w:r>
    </w:p>
    <w:p w:rsidR="00F168A9" w:rsidRDefault="00F168A9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</w:p>
    <w:p w:rsidR="001422CA" w:rsidRDefault="001422CA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</w:p>
    <w:p w:rsidR="001422CA" w:rsidRDefault="001422CA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</w:p>
    <w:p w:rsidR="001422CA" w:rsidRPr="00C42BF7" w:rsidRDefault="001422CA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</w:p>
    <w:p w:rsidR="0052572D" w:rsidRPr="00C42BF7" w:rsidRDefault="00F86EE1" w:rsidP="00060290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>Kapitull</w:t>
      </w:r>
      <w:r w:rsidR="0002749E" w:rsidRPr="00C42BF7">
        <w:rPr>
          <w:b/>
          <w:lang w:val="sq-AL"/>
        </w:rPr>
        <w:t>i V</w:t>
      </w:r>
      <w:r w:rsidRPr="00C42BF7">
        <w:rPr>
          <w:b/>
          <w:lang w:val="sq-AL"/>
        </w:rPr>
        <w:t>I: Analiza e opsionev</w:t>
      </w:r>
      <w:r w:rsidR="00106493" w:rsidRPr="00C42BF7">
        <w:rPr>
          <w:b/>
          <w:lang w:val="sq-AL"/>
        </w:rPr>
        <w:t>e</w:t>
      </w:r>
    </w:p>
    <w:p w:rsidR="00213F25" w:rsidRPr="00C42BF7" w:rsidRDefault="00213F25" w:rsidP="00060290">
      <w:pPr>
        <w:autoSpaceDE w:val="0"/>
        <w:autoSpaceDN w:val="0"/>
        <w:adjustRightInd w:val="0"/>
        <w:jc w:val="both"/>
        <w:rPr>
          <w:b/>
          <w:i/>
          <w:lang w:val="sq-AL"/>
        </w:rPr>
      </w:pPr>
    </w:p>
    <w:p w:rsidR="0002749E" w:rsidRPr="00C42BF7" w:rsidRDefault="0052572D" w:rsidP="000B1F04">
      <w:pPr>
        <w:autoSpaceDE w:val="0"/>
        <w:autoSpaceDN w:val="0"/>
        <w:adjustRightInd w:val="0"/>
        <w:jc w:val="both"/>
        <w:rPr>
          <w:i/>
          <w:lang w:val="sq-AL"/>
        </w:rPr>
      </w:pPr>
      <w:r w:rsidRPr="00C42BF7">
        <w:rPr>
          <w:i/>
          <w:lang w:val="sq-AL"/>
        </w:rPr>
        <w:lastRenderedPageBreak/>
        <w:t>P</w:t>
      </w:r>
      <w:r w:rsidR="0002749E" w:rsidRPr="00C42BF7">
        <w:rPr>
          <w:i/>
          <w:lang w:val="sq-AL"/>
        </w:rPr>
        <w:t>ë</w:t>
      </w:r>
      <w:r w:rsidRPr="00C42BF7">
        <w:rPr>
          <w:i/>
          <w:lang w:val="sq-AL"/>
        </w:rPr>
        <w:t>rfitime</w:t>
      </w:r>
      <w:r w:rsidR="0002749E" w:rsidRPr="00C42BF7">
        <w:rPr>
          <w:i/>
          <w:lang w:val="sq-AL"/>
        </w:rPr>
        <w:t>t</w:t>
      </w:r>
    </w:p>
    <w:p w:rsidR="0052572D" w:rsidRPr="00C42BF7" w:rsidRDefault="00213F25" w:rsidP="00F168A9">
      <w:pPr>
        <w:pStyle w:val="koncept"/>
        <w:numPr>
          <w:ilvl w:val="0"/>
          <w:numId w:val="31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Opsioni 1: </w:t>
      </w:r>
      <w:r w:rsidR="008B15B5" w:rsidRPr="00C42BF7">
        <w:rPr>
          <w:rFonts w:ascii="Times New Roman" w:hAnsi="Times New Roman"/>
          <w:color w:val="auto"/>
          <w:sz w:val="24"/>
          <w:szCs w:val="24"/>
        </w:rPr>
        <w:t xml:space="preserve">Nuk ka </w:t>
      </w:r>
      <w:proofErr w:type="spellStart"/>
      <w:r w:rsidR="008B15B5" w:rsidRPr="00C42BF7">
        <w:rPr>
          <w:rFonts w:ascii="Times New Roman" w:hAnsi="Times New Roman"/>
          <w:color w:val="auto"/>
          <w:sz w:val="24"/>
          <w:szCs w:val="24"/>
        </w:rPr>
        <w:t>p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8B15B5" w:rsidRPr="00C42BF7">
        <w:rPr>
          <w:rFonts w:ascii="Times New Roman" w:hAnsi="Times New Roman"/>
          <w:color w:val="auto"/>
          <w:sz w:val="24"/>
          <w:szCs w:val="24"/>
        </w:rPr>
        <w:t>rfitime</w:t>
      </w:r>
      <w:r w:rsidRPr="00C42BF7">
        <w:rPr>
          <w:rFonts w:ascii="Times New Roman" w:hAnsi="Times New Roman"/>
          <w:color w:val="auto"/>
          <w:sz w:val="24"/>
          <w:szCs w:val="24"/>
        </w:rPr>
        <w:t>sepse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kjo kategori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 xml:space="preserve"> e qytetar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 xml:space="preserve">ve </w:t>
      </w:r>
      <w:r w:rsidRPr="00C42BF7">
        <w:rPr>
          <w:rFonts w:ascii="Times New Roman" w:hAnsi="Times New Roman"/>
          <w:color w:val="auto"/>
          <w:sz w:val="24"/>
          <w:szCs w:val="24"/>
        </w:rPr>
        <w:t>edhe m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tej 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>nuk do t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 xml:space="preserve"> mund t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ajisen me </w:t>
      </w:r>
      <w:r w:rsidR="00F168A9" w:rsidRPr="00C42BF7">
        <w:rPr>
          <w:rFonts w:ascii="Times New Roman" w:hAnsi="Times New Roman"/>
          <w:color w:val="auto"/>
          <w:sz w:val="24"/>
          <w:szCs w:val="24"/>
        </w:rPr>
        <w:t>let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rnjoftim, dokument i cili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rbente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identifikim m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leht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f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mij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institucionet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ndet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sore, arsimore, dhe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rbime elektronike.</w:t>
      </w:r>
    </w:p>
    <w:p w:rsidR="00213F25" w:rsidRPr="00C42BF7" w:rsidRDefault="00213F25" w:rsidP="00213F25">
      <w:pPr>
        <w:pStyle w:val="koncept"/>
        <w:numPr>
          <w:ilvl w:val="0"/>
          <w:numId w:val="31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 Opsioni 2: Me plotësim ndryshimin e  ligjit aktual  do të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jipet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e drejta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t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tu pajisur me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rnjoftim, dokument i cili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rbej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identifikim m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leht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f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mij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institucionet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ndet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sore, arsimore, dhe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rbime elektronike.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Poashtu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>, plot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sim ndryshimi i ligjit aktual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harmonizonte dispozitat e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tij ligji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cilat parashihen gjobat me dispozitat e ligjit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ri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rvajtje.</w:t>
      </w:r>
    </w:p>
    <w:p w:rsidR="00213F25" w:rsidRPr="00C42BF7" w:rsidRDefault="00213F25" w:rsidP="00213F25">
      <w:pPr>
        <w:pStyle w:val="koncept"/>
        <w:numPr>
          <w:ilvl w:val="0"/>
          <w:numId w:val="31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Opsioni 3: Çdo ndryshim i qasjes ekzistuese te zbatimit te ligjit aktual  nuk do ti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jipte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tu pajisur me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rnjoftim, sepse kjo e drejt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nuk mund tu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jipet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saj  kategorie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pa plotësim ndryshimin  e ligjit aktual dhe  harmonizimin e  këtij ligji me legjislacionin tjetër relevant.</w:t>
      </w:r>
    </w:p>
    <w:p w:rsidR="00421931" w:rsidRPr="00C42BF7" w:rsidRDefault="0052572D" w:rsidP="000B1F04">
      <w:pPr>
        <w:autoSpaceDE w:val="0"/>
        <w:autoSpaceDN w:val="0"/>
        <w:adjustRightInd w:val="0"/>
        <w:jc w:val="both"/>
        <w:rPr>
          <w:i/>
          <w:lang w:val="sq-AL"/>
        </w:rPr>
      </w:pPr>
      <w:r w:rsidRPr="00C42BF7">
        <w:rPr>
          <w:i/>
          <w:lang w:val="sq-AL"/>
        </w:rPr>
        <w:t>Pasoja</w:t>
      </w:r>
      <w:r w:rsidR="0002749E" w:rsidRPr="00C42BF7">
        <w:rPr>
          <w:i/>
          <w:lang w:val="sq-AL"/>
        </w:rPr>
        <w:t xml:space="preserve">t </w:t>
      </w:r>
      <w:r w:rsidRPr="00C42BF7">
        <w:rPr>
          <w:i/>
          <w:lang w:val="sq-AL"/>
        </w:rPr>
        <w:t>negative</w:t>
      </w:r>
    </w:p>
    <w:p w:rsidR="0052572D" w:rsidRPr="00C42BF7" w:rsidRDefault="0052572D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344B94" w:rsidRPr="00C42BF7">
        <w:rPr>
          <w:rFonts w:ascii="Times New Roman" w:hAnsi="Times New Roman"/>
          <w:color w:val="auto"/>
          <w:sz w:val="24"/>
          <w:szCs w:val="24"/>
        </w:rPr>
        <w:t>Opsioni 1:  Pasojat e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44B94" w:rsidRPr="00C42BF7">
        <w:rPr>
          <w:rFonts w:ascii="Times New Roman" w:hAnsi="Times New Roman"/>
          <w:color w:val="auto"/>
          <w:sz w:val="24"/>
          <w:szCs w:val="24"/>
        </w:rPr>
        <w:t xml:space="preserve">tij </w:t>
      </w:r>
      <w:proofErr w:type="spellStart"/>
      <w:r w:rsidR="00344B94" w:rsidRPr="00C42BF7">
        <w:rPr>
          <w:rFonts w:ascii="Times New Roman" w:hAnsi="Times New Roman"/>
          <w:color w:val="auto"/>
          <w:sz w:val="24"/>
          <w:szCs w:val="24"/>
        </w:rPr>
        <w:t>opisioni</w:t>
      </w:r>
      <w:proofErr w:type="spellEnd"/>
      <w:r w:rsidR="00344B94" w:rsidRPr="00C42BF7">
        <w:rPr>
          <w:rFonts w:ascii="Times New Roman" w:hAnsi="Times New Roman"/>
          <w:color w:val="auto"/>
          <w:sz w:val="24"/>
          <w:szCs w:val="24"/>
        </w:rPr>
        <w:t xml:space="preserve"> jan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44B94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44B94" w:rsidRPr="00C42BF7">
        <w:rPr>
          <w:rFonts w:ascii="Times New Roman" w:hAnsi="Times New Roman"/>
          <w:color w:val="auto"/>
          <w:sz w:val="24"/>
          <w:szCs w:val="24"/>
        </w:rPr>
        <w:t xml:space="preserve"> atilla q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B3A6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kjo</w:t>
      </w:r>
      <w:r w:rsidR="00344B94" w:rsidRPr="00C42BF7">
        <w:rPr>
          <w:rFonts w:ascii="Times New Roman" w:hAnsi="Times New Roman"/>
          <w:color w:val="auto"/>
          <w:sz w:val="24"/>
          <w:szCs w:val="24"/>
        </w:rPr>
        <w:t xml:space="preserve"> kategori e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344B94" w:rsidRPr="00C42BF7">
        <w:rPr>
          <w:rFonts w:ascii="Times New Roman" w:hAnsi="Times New Roman"/>
          <w:color w:val="auto"/>
          <w:sz w:val="24"/>
          <w:szCs w:val="24"/>
        </w:rPr>
        <w:t>v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e edhe m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B3A6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e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j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vazhdoj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ket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v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shtir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sit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e nj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jta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identifikim, udh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tim dhe kryerjen e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rbimeve elektronike. </w:t>
      </w:r>
      <w:proofErr w:type="spellStart"/>
      <w:r w:rsidR="009B1527" w:rsidRPr="00C42BF7">
        <w:rPr>
          <w:rFonts w:ascii="Times New Roman" w:hAnsi="Times New Roman"/>
          <w:color w:val="auto"/>
          <w:sz w:val="24"/>
          <w:szCs w:val="24"/>
        </w:rPr>
        <w:t>Poashtu</w:t>
      </w:r>
      <w:proofErr w:type="spellEnd"/>
      <w:r w:rsidR="009B1527" w:rsidRPr="00C42BF7">
        <w:rPr>
          <w:rFonts w:ascii="Times New Roman" w:hAnsi="Times New Roman"/>
          <w:color w:val="auto"/>
          <w:sz w:val="24"/>
          <w:szCs w:val="24"/>
        </w:rPr>
        <w:t>, pasoj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tjet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r mund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jet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edhe pamund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>sia e shqiptimit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B1527" w:rsidRPr="00C42BF7">
        <w:rPr>
          <w:rFonts w:ascii="Times New Roman" w:hAnsi="Times New Roman"/>
          <w:color w:val="auto"/>
          <w:sz w:val="24"/>
          <w:szCs w:val="24"/>
        </w:rPr>
        <w:t xml:space="preserve"> gjobave</w:t>
      </w:r>
      <w:r w:rsidR="007B3A6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319F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0319F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0319F" w:rsidRPr="00C42BF7">
        <w:rPr>
          <w:rFonts w:ascii="Times New Roman" w:hAnsi="Times New Roman"/>
          <w:color w:val="auto"/>
          <w:sz w:val="24"/>
          <w:szCs w:val="24"/>
        </w:rPr>
        <w:t>rcaktuara me ligjin aktual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0319F" w:rsidRPr="00C42BF7">
        <w:rPr>
          <w:rFonts w:ascii="Times New Roman" w:hAnsi="Times New Roman"/>
          <w:color w:val="auto"/>
          <w:sz w:val="24"/>
          <w:szCs w:val="24"/>
        </w:rPr>
        <w:t>r shkak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0319F" w:rsidRPr="00C42BF7">
        <w:rPr>
          <w:rFonts w:ascii="Times New Roman" w:hAnsi="Times New Roman"/>
          <w:color w:val="auto"/>
          <w:sz w:val="24"/>
          <w:szCs w:val="24"/>
        </w:rPr>
        <w:t xml:space="preserve"> mos harmonizimit me ligjin e ri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0319F"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0319F" w:rsidRPr="00C42BF7">
        <w:rPr>
          <w:rFonts w:ascii="Times New Roman" w:hAnsi="Times New Roman"/>
          <w:color w:val="auto"/>
          <w:sz w:val="24"/>
          <w:szCs w:val="24"/>
        </w:rPr>
        <w:t xml:space="preserve">rvajtje. </w:t>
      </w:r>
    </w:p>
    <w:p w:rsidR="0052572D" w:rsidRPr="00C42BF7" w:rsidRDefault="0052572D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spellStart"/>
      <w:r w:rsidR="00F44356" w:rsidRPr="00C42BF7">
        <w:rPr>
          <w:rFonts w:ascii="Times New Roman" w:hAnsi="Times New Roman"/>
          <w:color w:val="auto"/>
          <w:sz w:val="24"/>
          <w:szCs w:val="24"/>
        </w:rPr>
        <w:t>Opisoni</w:t>
      </w:r>
      <w:proofErr w:type="spellEnd"/>
      <w:r w:rsidR="00F44356" w:rsidRPr="00C42BF7">
        <w:rPr>
          <w:rFonts w:ascii="Times New Roman" w:hAnsi="Times New Roman"/>
          <w:color w:val="auto"/>
          <w:sz w:val="24"/>
          <w:szCs w:val="24"/>
        </w:rPr>
        <w:t xml:space="preserve"> 2:  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Kostoja financiare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mund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ishte e vetmja pasoj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negative, por kur 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>kemi parasysh faktin se me plot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>sim ndryshimin e ligjit aktual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 xml:space="preserve"> krijohet mund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>sia q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 xml:space="preserve"> edhe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>t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>are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 xml:space="preserve"> pajisen me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44356" w:rsidRPr="00C42BF7">
        <w:rPr>
          <w:rFonts w:ascii="Times New Roman" w:hAnsi="Times New Roman"/>
          <w:color w:val="auto"/>
          <w:sz w:val="24"/>
          <w:szCs w:val="24"/>
        </w:rPr>
        <w:t xml:space="preserve">rnjoftim i cili do </w:t>
      </w:r>
      <w:proofErr w:type="spellStart"/>
      <w:r w:rsidR="00F44356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leht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sonte</w:t>
      </w:r>
      <w:proofErr w:type="spellEnd"/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identifikim m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shpejt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dhe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sakt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nga ana e autoriteteve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rkat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se, udh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timin jasht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vendit dhe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rbimeve elektronike e arsyetojn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4A1A49" w:rsidRPr="00C42BF7">
        <w:rPr>
          <w:rFonts w:ascii="Times New Roman" w:hAnsi="Times New Roman"/>
          <w:color w:val="auto"/>
          <w:sz w:val="24"/>
          <w:szCs w:val="24"/>
        </w:rPr>
        <w:t xml:space="preserve"> kosto. </w:t>
      </w:r>
    </w:p>
    <w:p w:rsidR="00B33EBB" w:rsidRPr="00C42BF7" w:rsidRDefault="008B15B5" w:rsidP="00B33EBB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Opsioni 3: Çdo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 xml:space="preserve"> ndryshim i qasjes ekzistuese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zbat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>imit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ligjit aktual  nuk do ti </w:t>
      </w:r>
      <w:proofErr w:type="spellStart"/>
      <w:r w:rsidR="00FF3A67" w:rsidRPr="00C42BF7">
        <w:rPr>
          <w:rFonts w:ascii="Times New Roman" w:hAnsi="Times New Roman"/>
          <w:color w:val="auto"/>
          <w:sz w:val="24"/>
          <w:szCs w:val="24"/>
        </w:rPr>
        <w:t>jipte</w:t>
      </w:r>
      <w:proofErr w:type="spellEnd"/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n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r tu pajisur me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rnjoftim, sepse kjo e drejt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 xml:space="preserve"> nuk mund ti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F3A67" w:rsidRPr="00C42BF7">
        <w:rPr>
          <w:rFonts w:ascii="Times New Roman" w:hAnsi="Times New Roman"/>
          <w:color w:val="auto"/>
          <w:sz w:val="24"/>
          <w:szCs w:val="24"/>
        </w:rPr>
        <w:t>jipet</w:t>
      </w:r>
      <w:proofErr w:type="spellEnd"/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saj  kategorie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ve pa plotësim ndryshimin  e ligjit aktual dhe  harmonizimin e  këtij ligji me legjislacionin tjetër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 xml:space="preserve"> relevant dhe njëkohësisht do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 xml:space="preserve"> krijonte v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>shtir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>si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 xml:space="preserve"> vazhdueshme 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lastRenderedPageBreak/>
        <w:t>n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zbatimin e dispozitave sanksionuese, 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cilat jan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 xml:space="preserve"> n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 xml:space="preserve"> kundërshtim me dispozitat e l</w:t>
      </w:r>
      <w:r w:rsidR="00E148EC" w:rsidRPr="00C42BF7">
        <w:rPr>
          <w:rFonts w:ascii="Times New Roman" w:hAnsi="Times New Roman"/>
          <w:color w:val="auto"/>
          <w:sz w:val="24"/>
          <w:szCs w:val="24"/>
        </w:rPr>
        <w:t>igjit p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FF3A67" w:rsidRPr="00C42BF7">
        <w:rPr>
          <w:rFonts w:ascii="Times New Roman" w:hAnsi="Times New Roman"/>
          <w:color w:val="auto"/>
          <w:sz w:val="24"/>
          <w:szCs w:val="24"/>
        </w:rPr>
        <w:t>r kundërvajtje.</w:t>
      </w:r>
    </w:p>
    <w:p w:rsidR="00DD219D" w:rsidRPr="00C42BF7" w:rsidRDefault="0052572D" w:rsidP="000B1F04">
      <w:pPr>
        <w:autoSpaceDE w:val="0"/>
        <w:autoSpaceDN w:val="0"/>
        <w:adjustRightInd w:val="0"/>
        <w:jc w:val="both"/>
        <w:rPr>
          <w:i/>
          <w:lang w:val="sq-AL"/>
        </w:rPr>
      </w:pPr>
      <w:r w:rsidRPr="00C42BF7">
        <w:rPr>
          <w:i/>
          <w:lang w:val="sq-AL"/>
        </w:rPr>
        <w:t>Kost</w:t>
      </w:r>
      <w:r w:rsidR="00BC26AB" w:rsidRPr="00C42BF7">
        <w:rPr>
          <w:i/>
          <w:lang w:val="sq-AL"/>
        </w:rPr>
        <w:t>o</w:t>
      </w:r>
    </w:p>
    <w:p w:rsidR="00CB63E0" w:rsidRPr="00C42BF7" w:rsidRDefault="004D6116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1422CA">
        <w:rPr>
          <w:rFonts w:ascii="Times New Roman" w:hAnsi="Times New Roman"/>
          <w:color w:val="auto"/>
          <w:sz w:val="24"/>
          <w:szCs w:val="24"/>
        </w:rPr>
        <w:t xml:space="preserve">Për implementimin e këtij opsioni të propozuar kosto buxhetore </w:t>
      </w:r>
      <w:r w:rsidR="007B3A6A" w:rsidRPr="001422CA">
        <w:rPr>
          <w:rFonts w:ascii="Times New Roman" w:hAnsi="Times New Roman"/>
          <w:color w:val="auto"/>
          <w:sz w:val="24"/>
          <w:szCs w:val="24"/>
        </w:rPr>
        <w:t xml:space="preserve">është paraparë </w:t>
      </w:r>
      <w:r w:rsidRPr="001422CA">
        <w:rPr>
          <w:rFonts w:ascii="Times New Roman" w:hAnsi="Times New Roman"/>
          <w:color w:val="auto"/>
          <w:sz w:val="24"/>
          <w:szCs w:val="24"/>
        </w:rPr>
        <w:t>me Ligjin mbi Buxhetin për vitin 201</w:t>
      </w:r>
      <w:r w:rsidR="00C00886" w:rsidRPr="001422CA">
        <w:rPr>
          <w:rFonts w:ascii="Times New Roman" w:hAnsi="Times New Roman"/>
          <w:color w:val="auto"/>
          <w:sz w:val="24"/>
          <w:szCs w:val="24"/>
        </w:rPr>
        <w:t>8</w:t>
      </w:r>
      <w:r w:rsidR="007B3A6A" w:rsidRPr="001422CA">
        <w:rPr>
          <w:rFonts w:ascii="Times New Roman" w:hAnsi="Times New Roman"/>
          <w:color w:val="auto"/>
          <w:sz w:val="24"/>
          <w:szCs w:val="24"/>
        </w:rPr>
        <w:t xml:space="preserve"> e cila është paraqitur në tabelën në vijim: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440"/>
        <w:gridCol w:w="1260"/>
        <w:gridCol w:w="1262"/>
        <w:gridCol w:w="1395"/>
      </w:tblGrid>
      <w:tr w:rsidR="00270800" w:rsidRPr="00C42BF7" w:rsidTr="007F1ED0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C42BF7" w:rsidRDefault="0052572D" w:rsidP="0002749E">
            <w:pPr>
              <w:jc w:val="center"/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Përmbledhj</w:t>
            </w:r>
            <w:r w:rsidR="0002749E" w:rsidRPr="00C42BF7">
              <w:rPr>
                <w:b/>
                <w:lang w:val="sq-AL"/>
              </w:rPr>
              <w:t xml:space="preserve">e </w:t>
            </w:r>
            <w:r w:rsidRPr="00C42BF7">
              <w:rPr>
                <w:b/>
                <w:lang w:val="sq-AL"/>
              </w:rPr>
              <w:t>e Vlerësimit të Ndikimit Financiar</w:t>
            </w:r>
          </w:p>
        </w:tc>
      </w:tr>
      <w:tr w:rsidR="00270800" w:rsidRPr="00C42BF7" w:rsidTr="007F1ED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C42BF7" w:rsidRDefault="0052572D" w:rsidP="007F1ED0">
            <w:pPr>
              <w:rPr>
                <w:lang w:val="sq-AL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D" w:rsidRPr="00C42BF7" w:rsidRDefault="0052572D" w:rsidP="007F1ED0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(000 Euro)</w:t>
            </w:r>
          </w:p>
        </w:tc>
      </w:tr>
      <w:tr w:rsidR="00270800" w:rsidRPr="00C42BF7" w:rsidTr="007F1E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D" w:rsidRPr="00C42BF7" w:rsidRDefault="0052572D" w:rsidP="007F1ED0">
            <w:pPr>
              <w:rPr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D" w:rsidRPr="00C42BF7" w:rsidRDefault="0052572D" w:rsidP="007F1ED0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Viti aktual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D" w:rsidRPr="00C42BF7" w:rsidRDefault="0052572D" w:rsidP="007F1ED0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Viti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D" w:rsidRPr="00C42BF7" w:rsidRDefault="0052572D" w:rsidP="007F1ED0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Viti 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D" w:rsidRPr="00C42BF7" w:rsidRDefault="0052572D" w:rsidP="007F1ED0">
            <w:pPr>
              <w:jc w:val="center"/>
              <w:rPr>
                <w:lang w:val="sq-AL"/>
              </w:rPr>
            </w:pPr>
            <w:r w:rsidRPr="00C42BF7">
              <w:rPr>
                <w:lang w:val="sq-AL"/>
              </w:rPr>
              <w:t>Viti 4</w:t>
            </w:r>
          </w:p>
        </w:tc>
      </w:tr>
      <w:tr w:rsidR="00270800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C42BF7" w:rsidRDefault="0052572D" w:rsidP="007F1ED0">
            <w:pPr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Opsioni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C42BF7" w:rsidRDefault="0052572D" w:rsidP="007F1ED0">
            <w:pPr>
              <w:rPr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C42BF7" w:rsidRDefault="0052572D" w:rsidP="007F1ED0">
            <w:pPr>
              <w:rPr>
                <w:lang w:val="sq-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C42BF7" w:rsidRDefault="0052572D" w:rsidP="007F1ED0">
            <w:pPr>
              <w:rPr>
                <w:lang w:val="sq-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C42BF7" w:rsidRDefault="0052572D" w:rsidP="007F1ED0">
            <w:pPr>
              <w:rPr>
                <w:lang w:val="sq-AL"/>
              </w:rPr>
            </w:pPr>
          </w:p>
        </w:tc>
      </w:tr>
      <w:tr w:rsidR="00270800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C42BF7" w:rsidRDefault="0052572D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 xml:space="preserve">Diferenca neto në </w:t>
            </w:r>
            <w:proofErr w:type="spellStart"/>
            <w:r w:rsidRPr="00C42BF7">
              <w:rPr>
                <w:lang w:val="sq-AL"/>
              </w:rPr>
              <w:t>alokimin</w:t>
            </w:r>
            <w:proofErr w:type="spellEnd"/>
            <w:r w:rsidRPr="00C42BF7">
              <w:rPr>
                <w:lang w:val="sq-AL"/>
              </w:rPr>
              <w:t xml:space="preserve"> e shpenzimeve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670,500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</w:tr>
      <w:tr w:rsidR="00270800" w:rsidRPr="00C42BF7" w:rsidTr="007F1ED0">
        <w:trPr>
          <w:trHeight w:val="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C42BF7" w:rsidRDefault="0052572D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>Diferenca neto në gjenerimin e të hyrave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B164A0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B164A0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3,000,000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B164A0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2,600,000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B164A0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2,700,000</w:t>
            </w:r>
          </w:p>
        </w:tc>
      </w:tr>
      <w:tr w:rsidR="00270800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C42BF7" w:rsidRDefault="0052572D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>Financimi i pritur nga donatorët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977AA2" w:rsidP="00B164A0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</w:tr>
      <w:tr w:rsidR="00270800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C42BF7" w:rsidRDefault="0052572D" w:rsidP="007F1ED0">
            <w:pPr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Opsioni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52572D" w:rsidP="007F1ED0">
            <w:pPr>
              <w:rPr>
                <w:b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2D" w:rsidRPr="00FD2C9F" w:rsidRDefault="0052572D" w:rsidP="007F1ED0">
            <w:pPr>
              <w:rPr>
                <w:b/>
                <w:lang w:val="sq-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FD2C9F" w:rsidRDefault="0052572D" w:rsidP="007F1ED0">
            <w:pPr>
              <w:rPr>
                <w:b/>
                <w:lang w:val="sq-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D" w:rsidRPr="00FD2C9F" w:rsidRDefault="0052572D" w:rsidP="007F1ED0">
            <w:pPr>
              <w:rPr>
                <w:b/>
                <w:lang w:val="sq-AL"/>
              </w:rPr>
            </w:pPr>
          </w:p>
        </w:tc>
      </w:tr>
      <w:tr w:rsidR="006A3035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35" w:rsidRPr="00C42BF7" w:rsidRDefault="006A3035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 xml:space="preserve">Diferenca neto në </w:t>
            </w:r>
            <w:proofErr w:type="spellStart"/>
            <w:r w:rsidRPr="00C42BF7">
              <w:rPr>
                <w:lang w:val="sq-AL"/>
              </w:rPr>
              <w:t>alokimin</w:t>
            </w:r>
            <w:proofErr w:type="spellEnd"/>
            <w:r w:rsidRPr="00C42BF7">
              <w:rPr>
                <w:lang w:val="sq-AL"/>
              </w:rPr>
              <w:t xml:space="preserve"> e shpenzimeve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670,500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</w:tr>
      <w:tr w:rsidR="006A3035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35" w:rsidRPr="00C42BF7" w:rsidRDefault="006A3035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>Diferenca neto në gjenerimin e të hyrave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3,000,000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2,600,000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2,700,000</w:t>
            </w:r>
          </w:p>
        </w:tc>
      </w:tr>
      <w:tr w:rsidR="00270800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F" w:rsidRPr="00C42BF7" w:rsidRDefault="00E66CFF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>Financimi i pritur nga donatorët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F" w:rsidRPr="00FD2C9F" w:rsidRDefault="006A3035" w:rsidP="00EF4E8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F" w:rsidRPr="00FD2C9F" w:rsidRDefault="006A3035" w:rsidP="00EF4E8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F" w:rsidRPr="00FD2C9F" w:rsidRDefault="006A3035" w:rsidP="00EF4E8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F" w:rsidRPr="00FD2C9F" w:rsidRDefault="006A3035" w:rsidP="00EF4E8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</w:tr>
      <w:tr w:rsidR="00270800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F" w:rsidRPr="00C42BF7" w:rsidRDefault="00E66CFF" w:rsidP="007F1ED0">
            <w:pPr>
              <w:rPr>
                <w:b/>
                <w:lang w:val="sq-AL"/>
              </w:rPr>
            </w:pPr>
            <w:r w:rsidRPr="00C42BF7">
              <w:rPr>
                <w:b/>
                <w:lang w:val="sq-AL"/>
              </w:rPr>
              <w:t>Opsioni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F" w:rsidRPr="00FD2C9F" w:rsidRDefault="00E66CFF" w:rsidP="007F1ED0">
            <w:pPr>
              <w:rPr>
                <w:b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F" w:rsidRPr="00FD2C9F" w:rsidRDefault="00E66CFF" w:rsidP="007F1ED0">
            <w:pPr>
              <w:rPr>
                <w:b/>
                <w:lang w:val="sq-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F" w:rsidRPr="00FD2C9F" w:rsidRDefault="00E66CFF" w:rsidP="007F1ED0">
            <w:pPr>
              <w:rPr>
                <w:b/>
                <w:lang w:val="sq-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F" w:rsidRPr="00FD2C9F" w:rsidRDefault="00E66CFF" w:rsidP="007F1ED0">
            <w:pPr>
              <w:rPr>
                <w:b/>
                <w:lang w:val="sq-AL"/>
              </w:rPr>
            </w:pPr>
          </w:p>
        </w:tc>
      </w:tr>
      <w:tr w:rsidR="006A3035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35" w:rsidRPr="00C42BF7" w:rsidRDefault="006A3035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 xml:space="preserve">Diferenca neto në </w:t>
            </w:r>
            <w:proofErr w:type="spellStart"/>
            <w:r w:rsidRPr="00C42BF7">
              <w:rPr>
                <w:lang w:val="sq-AL"/>
              </w:rPr>
              <w:t>alokimin</w:t>
            </w:r>
            <w:proofErr w:type="spellEnd"/>
            <w:r w:rsidRPr="00C42BF7">
              <w:rPr>
                <w:lang w:val="sq-AL"/>
              </w:rPr>
              <w:t xml:space="preserve"> e shpenzimeve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670,500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596,000</w:t>
            </w:r>
          </w:p>
        </w:tc>
      </w:tr>
      <w:tr w:rsidR="006A3035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35" w:rsidRPr="00C42BF7" w:rsidRDefault="006A3035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>Diferenca neto në gjenerimin e të hyrave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3,000,000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2,600,000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jc w:val="center"/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2,700,000</w:t>
            </w:r>
          </w:p>
        </w:tc>
      </w:tr>
      <w:tr w:rsidR="006A3035" w:rsidRPr="00C42BF7" w:rsidTr="007F1E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35" w:rsidRPr="00C42BF7" w:rsidRDefault="006A3035" w:rsidP="007F1ED0">
            <w:pPr>
              <w:ind w:left="180"/>
              <w:rPr>
                <w:lang w:val="sq-AL"/>
              </w:rPr>
            </w:pPr>
            <w:r w:rsidRPr="00C42BF7">
              <w:rPr>
                <w:lang w:val="sq-AL"/>
              </w:rPr>
              <w:t>Financimi i pritur nga donatorët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5" w:rsidRPr="00FD2C9F" w:rsidRDefault="006A3035" w:rsidP="00256832">
            <w:pPr>
              <w:rPr>
                <w:b/>
                <w:lang w:val="sq-AL"/>
              </w:rPr>
            </w:pPr>
            <w:r w:rsidRPr="00FD2C9F">
              <w:rPr>
                <w:b/>
                <w:lang w:val="sq-AL"/>
              </w:rPr>
              <w:t>0.00</w:t>
            </w:r>
          </w:p>
        </w:tc>
      </w:tr>
    </w:tbl>
    <w:p w:rsidR="00106493" w:rsidRPr="00C42BF7" w:rsidRDefault="00106493" w:rsidP="000B1F04">
      <w:pPr>
        <w:autoSpaceDE w:val="0"/>
        <w:autoSpaceDN w:val="0"/>
        <w:adjustRightInd w:val="0"/>
        <w:jc w:val="both"/>
        <w:rPr>
          <w:b/>
          <w:lang w:val="sq-AL"/>
        </w:rPr>
      </w:pPr>
    </w:p>
    <w:p w:rsidR="000B1F04" w:rsidRPr="00C42BF7" w:rsidRDefault="000B1F04" w:rsidP="000B1F04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 xml:space="preserve">Kapitulli VII: Konsultimi </w:t>
      </w:r>
    </w:p>
    <w:p w:rsidR="008C3C1E" w:rsidRDefault="008C3C1E" w:rsidP="008C3C1E">
      <w:pPr>
        <w:pStyle w:val="koncept"/>
        <w:ind w:left="360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Ky koncept dokument, ka ardhur në ba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zë të nevojave të rregullimit për plotë</w:t>
      </w:r>
      <w:r w:rsidRPr="00C42BF7">
        <w:rPr>
          <w:rFonts w:ascii="Times New Roman" w:hAnsi="Times New Roman"/>
          <w:color w:val="auto"/>
          <w:sz w:val="24"/>
          <w:szCs w:val="24"/>
        </w:rPr>
        <w:t>sim ndryshimin e ligjit aktual. Procesi i konsultimit të jashtëm, do të bëhet sipas Rregullores nr. 09/2011 të Punës së Qeverisë dhe Udhëzuesit për Procesin e Konsultimeve Publike (s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 xml:space="preserve">htator 2011) ku palëve të </w:t>
      </w:r>
      <w:proofErr w:type="spellStart"/>
      <w:r w:rsidR="00D44B20" w:rsidRPr="00C42BF7">
        <w:rPr>
          <w:rFonts w:ascii="Times New Roman" w:hAnsi="Times New Roman"/>
          <w:color w:val="auto"/>
          <w:sz w:val="24"/>
          <w:szCs w:val="24"/>
        </w:rPr>
        <w:t>lartë</w:t>
      </w:r>
      <w:r w:rsidRPr="00C42BF7">
        <w:rPr>
          <w:rFonts w:ascii="Times New Roman" w:hAnsi="Times New Roman"/>
          <w:color w:val="auto"/>
          <w:sz w:val="24"/>
          <w:szCs w:val="24"/>
        </w:rPr>
        <w:t>cekura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ua kemi dërguar draftin fillestar të këtij koncept dokumentit. Nga këto konsulta është arritur përfundimi se ndryshimet e lartpërmendura janë më se të domosdoshme. Po ashtu ky KD para procedimit për miratim në Qeveri, do të dërgohet në konsultim paraprak ndërministror dhe në konsultim publik, p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ërmes platformës së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konsultimeve publike.</w:t>
      </w:r>
    </w:p>
    <w:p w:rsidR="00CF00F1" w:rsidRPr="00C42BF7" w:rsidRDefault="00CF00F1" w:rsidP="008C3C1E">
      <w:pPr>
        <w:pStyle w:val="koncept"/>
        <w:ind w:left="360"/>
        <w:rPr>
          <w:rFonts w:ascii="Times New Roman" w:hAnsi="Times New Roman"/>
          <w:color w:val="auto"/>
          <w:sz w:val="24"/>
          <w:szCs w:val="24"/>
        </w:rPr>
      </w:pPr>
      <w:r w:rsidRPr="001422CA">
        <w:rPr>
          <w:rFonts w:ascii="Times New Roman" w:hAnsi="Times New Roman"/>
          <w:color w:val="auto"/>
          <w:sz w:val="24"/>
          <w:szCs w:val="24"/>
        </w:rPr>
        <w:lastRenderedPageBreak/>
        <w:t>Komente ka pasur vetëm nga Zyra e Kryeministrit, të cilat janë shqyrtuar nga ekipi për hartimin e koncept dokumentit dhe zyrtarët e Zyrës së Kryeministrit.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F3B42" w:rsidRPr="00C42BF7" w:rsidRDefault="00CF3B42" w:rsidP="000B1F04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>Kapitull</w:t>
      </w:r>
      <w:r w:rsidR="0002749E" w:rsidRPr="00C42BF7">
        <w:rPr>
          <w:b/>
          <w:lang w:val="sq-AL"/>
        </w:rPr>
        <w:t xml:space="preserve">i </w:t>
      </w:r>
      <w:r w:rsidR="000951C8" w:rsidRPr="00C42BF7">
        <w:rPr>
          <w:b/>
          <w:lang w:val="sq-AL"/>
        </w:rPr>
        <w:t>VIII: Kraha</w:t>
      </w:r>
      <w:r w:rsidRPr="00C42BF7">
        <w:rPr>
          <w:b/>
          <w:lang w:val="sq-AL"/>
        </w:rPr>
        <w:t>simi i opsioneve</w:t>
      </w:r>
    </w:p>
    <w:p w:rsidR="00FC0F86" w:rsidRPr="00C42BF7" w:rsidRDefault="00FC0F86" w:rsidP="000B1F04">
      <w:pPr>
        <w:autoSpaceDE w:val="0"/>
        <w:autoSpaceDN w:val="0"/>
        <w:adjustRightInd w:val="0"/>
        <w:jc w:val="both"/>
        <w:rPr>
          <w:b/>
          <w:lang w:val="sq-AL"/>
        </w:rPr>
      </w:pPr>
    </w:p>
    <w:p w:rsidR="00FC0F86" w:rsidRPr="00C42BF7" w:rsidRDefault="00FC0F86" w:rsidP="00FC0F86">
      <w:pPr>
        <w:pStyle w:val="koncept"/>
        <w:ind w:left="360"/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Opsioni 1: 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Vazhdimi i zbatimit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l</w:t>
      </w:r>
      <w:r w:rsidRPr="00C42BF7">
        <w:rPr>
          <w:rFonts w:ascii="Times New Roman" w:hAnsi="Times New Roman"/>
          <w:color w:val="auto"/>
          <w:sz w:val="24"/>
          <w:szCs w:val="24"/>
        </w:rPr>
        <w:t>igji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t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aktual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pamund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sonte dh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nien e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s s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r tu pajisur m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e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rnjoftim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si dhe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krijonte v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shtir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si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zbatim sidomos me rastin e zbatimit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dispozitave sanksionuese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cilat nuk jan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 harmoni me ligjin e ri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05587D" w:rsidRPr="00C42BF7">
        <w:rPr>
          <w:rFonts w:ascii="Times New Roman" w:hAnsi="Times New Roman"/>
          <w:color w:val="auto"/>
          <w:sz w:val="24"/>
          <w:szCs w:val="24"/>
        </w:rPr>
        <w:t xml:space="preserve">rvajtje. </w:t>
      </w:r>
    </w:p>
    <w:p w:rsidR="00FC0F86" w:rsidRPr="00C42BF7" w:rsidRDefault="00FC0F86" w:rsidP="00FC0F86">
      <w:pPr>
        <w:pStyle w:val="koncept"/>
        <w:ind w:left="360"/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Opsioni 2: Me plotësim ndryshimin e  ligjit aktual  do të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jipet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e drejta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t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tu pajisur me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rnjoftim, dokument i cili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rbej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identifikim m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leht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f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mij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institucionet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ndet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sore, arsimore, dhe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rbime elektronike.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Poashtu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>, plot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sim ndryshimi i ligjit aktual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harmonizonte dispozitat e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tij ligji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cilat parashihen gjobat me dispozitat e ligjit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ri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rvajtje.</w:t>
      </w:r>
    </w:p>
    <w:p w:rsidR="00FC0F86" w:rsidRPr="00C42BF7" w:rsidRDefault="00FC0F86" w:rsidP="00FC0F86">
      <w:pPr>
        <w:pStyle w:val="koncept"/>
        <w:ind w:left="360"/>
        <w:rPr>
          <w:rFonts w:ascii="Times New Roman" w:hAnsi="Times New Roman"/>
          <w:b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 xml:space="preserve">Opsioni 3:  Çdo ndryshim i qasjes ekzistuese te zbatimit te ligjit aktual  nuk do ti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jipte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drejt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tu pajisur me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rnjoftim, sepse 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>kjo e drejt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 xml:space="preserve"> nuk mund tu </w:t>
      </w:r>
      <w:proofErr w:type="spellStart"/>
      <w:r w:rsidR="00B672D0" w:rsidRPr="00C42BF7">
        <w:rPr>
          <w:rFonts w:ascii="Times New Roman" w:hAnsi="Times New Roman"/>
          <w:color w:val="auto"/>
          <w:sz w:val="24"/>
          <w:szCs w:val="24"/>
        </w:rPr>
        <w:t>jipet</w:t>
      </w:r>
      <w:proofErr w:type="spellEnd"/>
      <w:r w:rsidR="00B672D0" w:rsidRPr="00C42BF7">
        <w:rPr>
          <w:rFonts w:ascii="Times New Roman" w:hAnsi="Times New Roman"/>
          <w:color w:val="auto"/>
          <w:sz w:val="24"/>
          <w:szCs w:val="24"/>
        </w:rPr>
        <w:t xml:space="preserve">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>saj  kategorie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 xml:space="preserve">ve </w:t>
      </w:r>
      <w:r w:rsidRPr="00C42BF7">
        <w:rPr>
          <w:rFonts w:ascii="Times New Roman" w:hAnsi="Times New Roman"/>
          <w:color w:val="auto"/>
          <w:sz w:val="24"/>
          <w:szCs w:val="24"/>
        </w:rPr>
        <w:t>pa plotësim ndryshim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 xml:space="preserve">in 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e ligjit aktual 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>dhe  harmonizimin e  këtij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ligj</w:t>
      </w:r>
      <w:r w:rsidR="00B672D0" w:rsidRPr="00C42BF7">
        <w:rPr>
          <w:rFonts w:ascii="Times New Roman" w:hAnsi="Times New Roman"/>
          <w:color w:val="auto"/>
          <w:sz w:val="24"/>
          <w:szCs w:val="24"/>
        </w:rPr>
        <w:t>i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me legjislacionin tjetër relevant.</w:t>
      </w:r>
    </w:p>
    <w:p w:rsidR="00FC0F86" w:rsidRPr="00C42BF7" w:rsidRDefault="00FC0F86" w:rsidP="000B1F04">
      <w:pPr>
        <w:autoSpaceDE w:val="0"/>
        <w:autoSpaceDN w:val="0"/>
        <w:adjustRightInd w:val="0"/>
        <w:jc w:val="both"/>
        <w:rPr>
          <w:b/>
          <w:lang w:val="sq-AL"/>
        </w:rPr>
      </w:pPr>
    </w:p>
    <w:p w:rsidR="0002749E" w:rsidRPr="00C42BF7" w:rsidRDefault="0002749E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Opsioni 1</w:t>
      </w:r>
      <w:r w:rsidR="00FC0F86" w:rsidRPr="00C42BF7">
        <w:rPr>
          <w:rFonts w:ascii="Times New Roman" w:hAnsi="Times New Roman"/>
          <w:color w:val="auto"/>
          <w:sz w:val="24"/>
          <w:szCs w:val="24"/>
        </w:rPr>
        <w:t>: 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sht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i pa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fa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vorsh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m p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r tu zbatuar n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situat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n aktuale, pasi q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 xml:space="preserve"> edhe m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 xml:space="preserve"> tej qytetar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>ve prej lindjes deri n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 xml:space="preserve"> mosh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>are nuk u mund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>sohet e drejta e pajisjes me let</w:t>
      </w:r>
      <w:r w:rsidR="007E595A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 xml:space="preserve">rnjoftim. </w:t>
      </w:r>
    </w:p>
    <w:p w:rsidR="0002749E" w:rsidRPr="00C42BF7" w:rsidRDefault="0002749E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Opsioni 2</w:t>
      </w:r>
      <w:r w:rsidR="00FC0F86" w:rsidRPr="00C42BF7">
        <w:rPr>
          <w:rFonts w:ascii="Times New Roman" w:hAnsi="Times New Roman"/>
          <w:color w:val="auto"/>
          <w:sz w:val="24"/>
          <w:szCs w:val="24"/>
        </w:rPr>
        <w:t>: 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sht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m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i favorshmi pasi q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rregullon korniz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n ligjore p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r l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shimin e let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rnjoftimeve p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r 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gjith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qytetar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2F32CF" w:rsidRPr="00C42BF7">
        <w:rPr>
          <w:rFonts w:ascii="Times New Roman" w:hAnsi="Times New Roman"/>
          <w:color w:val="auto"/>
          <w:sz w:val="24"/>
          <w:szCs w:val="24"/>
        </w:rPr>
        <w:t>, pa dallim moshe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.</w:t>
      </w:r>
    </w:p>
    <w:p w:rsidR="0002749E" w:rsidRPr="00C42BF7" w:rsidRDefault="0002749E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Opsioni 3</w:t>
      </w:r>
      <w:r w:rsidR="00FC0F86" w:rsidRPr="00C42BF7">
        <w:rPr>
          <w:rFonts w:ascii="Times New Roman" w:hAnsi="Times New Roman"/>
          <w:color w:val="auto"/>
          <w:sz w:val="24"/>
          <w:szCs w:val="24"/>
        </w:rPr>
        <w:t>: 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sht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 xml:space="preserve"> i pafavorsh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7376EA" w:rsidRPr="00C42BF7">
        <w:rPr>
          <w:rFonts w:ascii="Times New Roman" w:hAnsi="Times New Roman"/>
          <w:color w:val="auto"/>
          <w:sz w:val="24"/>
          <w:szCs w:val="24"/>
        </w:rPr>
        <w:t>m pasi q</w:t>
      </w:r>
      <w:r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bie ndesh me dispozitat aktuale ligjore.</w:t>
      </w:r>
    </w:p>
    <w:p w:rsidR="00321E60" w:rsidRPr="00C42BF7" w:rsidRDefault="00321E60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</w:p>
    <w:p w:rsidR="00421931" w:rsidRPr="00C42BF7" w:rsidRDefault="00CF3B42" w:rsidP="000B1F04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>Kapitulli IX: Rekomandim</w:t>
      </w:r>
      <w:r w:rsidR="00106493" w:rsidRPr="00C42BF7">
        <w:rPr>
          <w:b/>
          <w:lang w:val="sq-AL"/>
        </w:rPr>
        <w:t>i</w:t>
      </w:r>
    </w:p>
    <w:p w:rsidR="0002749E" w:rsidRPr="00C42BF7" w:rsidRDefault="00556C7E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lastRenderedPageBreak/>
        <w:t xml:space="preserve">Ky koncept dokument 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do ti paraprij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plot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sim ndryshimit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CF3B42" w:rsidRPr="00C42BF7">
        <w:rPr>
          <w:rFonts w:ascii="Times New Roman" w:hAnsi="Times New Roman"/>
          <w:color w:val="auto"/>
          <w:sz w:val="24"/>
          <w:szCs w:val="24"/>
        </w:rPr>
        <w:t xml:space="preserve"> kornizë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s ligjore </w:t>
      </w:r>
      <w:proofErr w:type="spellStart"/>
      <w:r w:rsidR="00997A5B" w:rsidRPr="00C42BF7">
        <w:rPr>
          <w:rFonts w:ascii="Times New Roman" w:hAnsi="Times New Roman"/>
          <w:color w:val="auto"/>
          <w:sz w:val="24"/>
          <w:szCs w:val="24"/>
        </w:rPr>
        <w:t>aktualeduke</w:t>
      </w:r>
      <w:proofErr w:type="spellEnd"/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i krijuar mund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sin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r qytetar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t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n mosh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n 16 vje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ç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are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r tu pajisur me let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rnjoftim, dokument i cili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rbej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>r identifikim m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997A5B" w:rsidRPr="00C42BF7">
        <w:rPr>
          <w:rFonts w:ascii="Times New Roman" w:hAnsi="Times New Roman"/>
          <w:color w:val="auto"/>
          <w:sz w:val="24"/>
          <w:szCs w:val="24"/>
        </w:rPr>
        <w:t xml:space="preserve"> leht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 xml:space="preserve"> f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>mij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>ve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 xml:space="preserve"> institucionet sh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>ndet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>sore, arsimore, dhe qasje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07B4F" w:rsidRPr="00C42BF7">
        <w:rPr>
          <w:rFonts w:ascii="Times New Roman" w:hAnsi="Times New Roman"/>
          <w:color w:val="auto"/>
          <w:sz w:val="24"/>
          <w:szCs w:val="24"/>
        </w:rPr>
        <w:t xml:space="preserve"> internet.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62397" w:rsidRPr="00C42BF7">
        <w:rPr>
          <w:rFonts w:ascii="Times New Roman" w:hAnsi="Times New Roman"/>
          <w:color w:val="auto"/>
          <w:sz w:val="24"/>
          <w:szCs w:val="24"/>
        </w:rPr>
        <w:t>Poashtu</w:t>
      </w:r>
      <w:proofErr w:type="spellEnd"/>
      <w:r w:rsidR="00162397" w:rsidRPr="00C42BF7">
        <w:rPr>
          <w:rFonts w:ascii="Times New Roman" w:hAnsi="Times New Roman"/>
          <w:color w:val="auto"/>
          <w:sz w:val="24"/>
          <w:szCs w:val="24"/>
        </w:rPr>
        <w:t>, plot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>sim ndryshimi i ligjit aktual do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 xml:space="preserve"> harmonizonte dispozitat e k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>tij ligji n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 xml:space="preserve"> cilat parashihen gjobat me dispozitat e ligjit t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 xml:space="preserve"> ri p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>r kund</w:t>
      </w:r>
      <w:r w:rsidR="00F67F50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162397" w:rsidRPr="00C42BF7">
        <w:rPr>
          <w:rFonts w:ascii="Times New Roman" w:hAnsi="Times New Roman"/>
          <w:color w:val="auto"/>
          <w:sz w:val="24"/>
          <w:szCs w:val="24"/>
        </w:rPr>
        <w:t xml:space="preserve">rvajtje. </w:t>
      </w:r>
    </w:p>
    <w:p w:rsidR="00CF3B42" w:rsidRPr="00C42BF7" w:rsidRDefault="00AF2F69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Ministria e Pun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e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Brendshme do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vazhdoj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jet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autoriteti i cili l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shon let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rnjoftimet n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vazhdim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si pa </w:t>
      </w:r>
      <w:proofErr w:type="spellStart"/>
      <w:r w:rsidRPr="00C42BF7">
        <w:rPr>
          <w:rFonts w:ascii="Times New Roman" w:hAnsi="Times New Roman"/>
          <w:color w:val="auto"/>
          <w:sz w:val="24"/>
          <w:szCs w:val="24"/>
        </w:rPr>
        <w:t>ndonj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kosto</w:t>
      </w:r>
      <w:proofErr w:type="spellEnd"/>
      <w:r w:rsidRPr="00C42BF7">
        <w:rPr>
          <w:rFonts w:ascii="Times New Roman" w:hAnsi="Times New Roman"/>
          <w:color w:val="auto"/>
          <w:sz w:val="24"/>
          <w:szCs w:val="24"/>
        </w:rPr>
        <w:t xml:space="preserve"> shtes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.</w:t>
      </w:r>
      <w:r w:rsidR="00CF122A" w:rsidRPr="00C42BF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56C7E" w:rsidRPr="00C42BF7" w:rsidRDefault="00556C7E" w:rsidP="000B1F04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Duke pa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s</w:t>
      </w:r>
      <w:r w:rsidR="00D44B20" w:rsidRPr="00C42BF7">
        <w:rPr>
          <w:rFonts w:ascii="Times New Roman" w:hAnsi="Times New Roman"/>
          <w:color w:val="auto"/>
          <w:sz w:val="24"/>
          <w:szCs w:val="24"/>
        </w:rPr>
        <w:t>ur parasysh të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gjitha opsionet, si dhe pasojat negative dhe p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rfitimet e mundshme nga 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gjitha opsionet, propozohet q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miratohet </w:t>
      </w:r>
      <w:r w:rsidR="00051679" w:rsidRPr="00C42BF7">
        <w:rPr>
          <w:rFonts w:ascii="Times New Roman" w:hAnsi="Times New Roman"/>
          <w:color w:val="auto"/>
          <w:sz w:val="24"/>
          <w:szCs w:val="24"/>
        </w:rPr>
        <w:t>opsioni 2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si m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i favorshmi.</w:t>
      </w:r>
    </w:p>
    <w:p w:rsidR="004D6116" w:rsidRPr="00C42BF7" w:rsidRDefault="00CF3B42" w:rsidP="000B1F04">
      <w:pPr>
        <w:autoSpaceDE w:val="0"/>
        <w:autoSpaceDN w:val="0"/>
        <w:adjustRightInd w:val="0"/>
        <w:jc w:val="both"/>
        <w:rPr>
          <w:b/>
          <w:lang w:val="sq-AL"/>
        </w:rPr>
      </w:pPr>
      <w:r w:rsidRPr="00C42BF7">
        <w:rPr>
          <w:b/>
          <w:lang w:val="sq-AL"/>
        </w:rPr>
        <w:t>Kapitull</w:t>
      </w:r>
      <w:r w:rsidR="0002749E" w:rsidRPr="00C42BF7">
        <w:rPr>
          <w:b/>
          <w:lang w:val="sq-AL"/>
        </w:rPr>
        <w:t>i X</w:t>
      </w:r>
      <w:r w:rsidRPr="00C42BF7">
        <w:rPr>
          <w:b/>
          <w:lang w:val="sq-AL"/>
        </w:rPr>
        <w:t>:</w:t>
      </w:r>
      <w:r w:rsidR="00421931" w:rsidRPr="00C42BF7">
        <w:rPr>
          <w:b/>
          <w:lang w:val="sq-AL"/>
        </w:rPr>
        <w:t xml:space="preserve"> Komunikimi</w:t>
      </w:r>
    </w:p>
    <w:p w:rsidR="004D6116" w:rsidRPr="00C42BF7" w:rsidRDefault="00AF2F69" w:rsidP="00F00E96">
      <w:pPr>
        <w:pStyle w:val="koncept"/>
        <w:rPr>
          <w:rFonts w:ascii="Times New Roman" w:hAnsi="Times New Roman"/>
          <w:color w:val="auto"/>
          <w:sz w:val="24"/>
          <w:szCs w:val="24"/>
        </w:rPr>
      </w:pPr>
      <w:r w:rsidRPr="00C42BF7">
        <w:rPr>
          <w:rFonts w:ascii="Times New Roman" w:hAnsi="Times New Roman"/>
          <w:color w:val="auto"/>
          <w:sz w:val="24"/>
          <w:szCs w:val="24"/>
        </w:rPr>
        <w:t>Me rastin e miratimit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 xml:space="preserve"> këtij  Ligji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Ministria e Pun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ve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Brendshme do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njoftoj pal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t e interesit p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rmes organizimit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konferenc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s p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r shtyp dhe 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vendosjes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njoftimeve n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t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 xml:space="preserve"> gjitha Qendrat p</w:t>
      </w:r>
      <w:r w:rsidR="0002749E" w:rsidRPr="00C42BF7">
        <w:rPr>
          <w:rFonts w:ascii="Times New Roman" w:hAnsi="Times New Roman"/>
          <w:color w:val="auto"/>
          <w:sz w:val="24"/>
          <w:szCs w:val="24"/>
        </w:rPr>
        <w:t>ë</w:t>
      </w:r>
      <w:r w:rsidRPr="00C42BF7">
        <w:rPr>
          <w:rFonts w:ascii="Times New Roman" w:hAnsi="Times New Roman"/>
          <w:color w:val="auto"/>
          <w:sz w:val="24"/>
          <w:szCs w:val="24"/>
        </w:rPr>
        <w:t>r Pajisje me Dokument</w:t>
      </w:r>
      <w:r w:rsidR="00106493" w:rsidRPr="00C42BF7">
        <w:rPr>
          <w:rFonts w:ascii="Times New Roman" w:hAnsi="Times New Roman"/>
          <w:color w:val="auto"/>
          <w:sz w:val="24"/>
          <w:szCs w:val="24"/>
        </w:rPr>
        <w:t xml:space="preserve">e. 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>Mesazhi kryesor do 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jet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njoftimi i qytetar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>ve rreth mund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>sive 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reja 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cilat do ti sjell 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letërnjoftimi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>, 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tilla si: 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shfrytëzimi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i let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>rnj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o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ftimit si dokument 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udhëtimi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n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vendet fqinje (gj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q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rregullohet me marr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>veshje), dhe shfryt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>zimi i pjes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</w:t>
      </w:r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s elektronike </w:t>
      </w:r>
      <w:proofErr w:type="spellStart"/>
      <w:r w:rsidR="00556C7E" w:rsidRPr="00C42BF7">
        <w:rPr>
          <w:rFonts w:ascii="Times New Roman" w:hAnsi="Times New Roman"/>
          <w:color w:val="auto"/>
          <w:sz w:val="24"/>
          <w:szCs w:val="24"/>
        </w:rPr>
        <w:t>t</w:t>
      </w:r>
      <w:r w:rsidR="00B74D43" w:rsidRPr="00C42BF7">
        <w:rPr>
          <w:rFonts w:ascii="Times New Roman" w:hAnsi="Times New Roman"/>
          <w:color w:val="auto"/>
          <w:sz w:val="24"/>
          <w:szCs w:val="24"/>
        </w:rPr>
        <w:t>ëletërnjoftimitpërshërbime</w:t>
      </w:r>
      <w:proofErr w:type="spellEnd"/>
      <w:r w:rsidR="00556C7E" w:rsidRPr="00C42BF7">
        <w:rPr>
          <w:rFonts w:ascii="Times New Roman" w:hAnsi="Times New Roman"/>
          <w:color w:val="auto"/>
          <w:sz w:val="24"/>
          <w:szCs w:val="24"/>
        </w:rPr>
        <w:t xml:space="preserve"> elektronike.</w:t>
      </w:r>
    </w:p>
    <w:sectPr w:rsidR="004D6116" w:rsidRPr="00C42BF7" w:rsidSect="00D92F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FA" w:rsidRDefault="00CC1BFA" w:rsidP="006D1B36">
      <w:r>
        <w:separator/>
      </w:r>
    </w:p>
  </w:endnote>
  <w:endnote w:type="continuationSeparator" w:id="0">
    <w:p w:rsidR="00CC1BFA" w:rsidRDefault="00CC1BFA" w:rsidP="006D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00" w:rsidRDefault="00AF6ADF">
    <w:pPr>
      <w:pStyle w:val="Footer"/>
      <w:jc w:val="right"/>
    </w:pPr>
    <w:r>
      <w:fldChar w:fldCharType="begin"/>
    </w:r>
    <w:r w:rsidR="00020300">
      <w:instrText xml:space="preserve"> PAGE   \* MERGEFORMAT </w:instrText>
    </w:r>
    <w:r>
      <w:fldChar w:fldCharType="separate"/>
    </w:r>
    <w:r w:rsidR="001911F2">
      <w:rPr>
        <w:noProof/>
      </w:rPr>
      <w:t>14</w:t>
    </w:r>
    <w:r>
      <w:rPr>
        <w:noProof/>
      </w:rPr>
      <w:fldChar w:fldCharType="end"/>
    </w:r>
  </w:p>
  <w:p w:rsidR="00020300" w:rsidRDefault="00020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FA" w:rsidRDefault="00CC1BFA" w:rsidP="006D1B36">
      <w:r>
        <w:separator/>
      </w:r>
    </w:p>
  </w:footnote>
  <w:footnote w:type="continuationSeparator" w:id="0">
    <w:p w:rsidR="00CC1BFA" w:rsidRDefault="00CC1BFA" w:rsidP="006D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00" w:rsidRDefault="00020300">
    <w:pPr>
      <w:pStyle w:val="Header"/>
    </w:pPr>
  </w:p>
  <w:p w:rsidR="00020300" w:rsidRDefault="000203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6D9"/>
    <w:multiLevelType w:val="multilevel"/>
    <w:tmpl w:val="A5AC60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A13339"/>
    <w:multiLevelType w:val="multilevel"/>
    <w:tmpl w:val="1F906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C22B9E"/>
    <w:multiLevelType w:val="hybridMultilevel"/>
    <w:tmpl w:val="FB9C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DE9"/>
    <w:multiLevelType w:val="hybridMultilevel"/>
    <w:tmpl w:val="FA6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3F0"/>
    <w:multiLevelType w:val="hybridMultilevel"/>
    <w:tmpl w:val="51F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7DC"/>
    <w:multiLevelType w:val="hybridMultilevel"/>
    <w:tmpl w:val="BE8A65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200"/>
    <w:multiLevelType w:val="hybridMultilevel"/>
    <w:tmpl w:val="D5A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14B"/>
    <w:multiLevelType w:val="hybridMultilevel"/>
    <w:tmpl w:val="30DA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5035"/>
    <w:multiLevelType w:val="hybridMultilevel"/>
    <w:tmpl w:val="471E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60F7"/>
    <w:multiLevelType w:val="hybridMultilevel"/>
    <w:tmpl w:val="D736EDBA"/>
    <w:lvl w:ilvl="0" w:tplc="B208667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2ED"/>
    <w:multiLevelType w:val="hybridMultilevel"/>
    <w:tmpl w:val="19A88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70B69"/>
    <w:multiLevelType w:val="hybridMultilevel"/>
    <w:tmpl w:val="D24EA7F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7942"/>
    <w:multiLevelType w:val="hybridMultilevel"/>
    <w:tmpl w:val="84981D70"/>
    <w:lvl w:ilvl="0" w:tplc="F55A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86705D"/>
    <w:multiLevelType w:val="hybridMultilevel"/>
    <w:tmpl w:val="DDACAF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068147E"/>
    <w:multiLevelType w:val="hybridMultilevel"/>
    <w:tmpl w:val="6AA26A72"/>
    <w:lvl w:ilvl="0" w:tplc="2DF44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32FA"/>
    <w:multiLevelType w:val="hybridMultilevel"/>
    <w:tmpl w:val="55925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B6E82"/>
    <w:multiLevelType w:val="hybridMultilevel"/>
    <w:tmpl w:val="F948DD20"/>
    <w:lvl w:ilvl="0" w:tplc="4C90A0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C3170"/>
    <w:multiLevelType w:val="hybridMultilevel"/>
    <w:tmpl w:val="0066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401A6"/>
    <w:multiLevelType w:val="hybridMultilevel"/>
    <w:tmpl w:val="78B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06A44"/>
    <w:multiLevelType w:val="hybridMultilevel"/>
    <w:tmpl w:val="BA74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44FC"/>
    <w:multiLevelType w:val="hybridMultilevel"/>
    <w:tmpl w:val="69E8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76A56"/>
    <w:multiLevelType w:val="hybridMultilevel"/>
    <w:tmpl w:val="52D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628AF"/>
    <w:multiLevelType w:val="hybridMultilevel"/>
    <w:tmpl w:val="57C814F0"/>
    <w:lvl w:ilvl="0" w:tplc="B8FAC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854C5"/>
    <w:multiLevelType w:val="hybridMultilevel"/>
    <w:tmpl w:val="8E28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377ED"/>
    <w:multiLevelType w:val="hybridMultilevel"/>
    <w:tmpl w:val="B80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E67204"/>
    <w:multiLevelType w:val="hybridMultilevel"/>
    <w:tmpl w:val="9CCE1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A87336"/>
    <w:multiLevelType w:val="hybridMultilevel"/>
    <w:tmpl w:val="F3EA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D23D8"/>
    <w:multiLevelType w:val="hybridMultilevel"/>
    <w:tmpl w:val="E10AE18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A102FB"/>
    <w:multiLevelType w:val="hybridMultilevel"/>
    <w:tmpl w:val="E666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1C5D6F"/>
    <w:multiLevelType w:val="hybridMultilevel"/>
    <w:tmpl w:val="9458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71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292AC8"/>
    <w:multiLevelType w:val="hybridMultilevel"/>
    <w:tmpl w:val="CCAA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20261"/>
    <w:multiLevelType w:val="hybridMultilevel"/>
    <w:tmpl w:val="3EB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64BB7"/>
    <w:multiLevelType w:val="hybridMultilevel"/>
    <w:tmpl w:val="578A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6"/>
  </w:num>
  <w:num w:numId="5">
    <w:abstractNumId w:val="17"/>
  </w:num>
  <w:num w:numId="6">
    <w:abstractNumId w:val="7"/>
  </w:num>
  <w:num w:numId="7">
    <w:abstractNumId w:val="9"/>
  </w:num>
  <w:num w:numId="8">
    <w:abstractNumId w:val="27"/>
  </w:num>
  <w:num w:numId="9">
    <w:abstractNumId w:val="29"/>
  </w:num>
  <w:num w:numId="10">
    <w:abstractNumId w:val="8"/>
  </w:num>
  <w:num w:numId="11">
    <w:abstractNumId w:val="0"/>
  </w:num>
  <w:num w:numId="12">
    <w:abstractNumId w:val="23"/>
  </w:num>
  <w:num w:numId="13">
    <w:abstractNumId w:val="15"/>
  </w:num>
  <w:num w:numId="14">
    <w:abstractNumId w:val="32"/>
  </w:num>
  <w:num w:numId="15">
    <w:abstractNumId w:val="22"/>
  </w:num>
  <w:num w:numId="16">
    <w:abstractNumId w:val="33"/>
  </w:num>
  <w:num w:numId="17">
    <w:abstractNumId w:val="20"/>
  </w:num>
  <w:num w:numId="18">
    <w:abstractNumId w:val="2"/>
  </w:num>
  <w:num w:numId="19">
    <w:abstractNumId w:val="13"/>
  </w:num>
  <w:num w:numId="20">
    <w:abstractNumId w:val="11"/>
  </w:num>
  <w:num w:numId="21">
    <w:abstractNumId w:val="12"/>
  </w:num>
  <w:num w:numId="22">
    <w:abstractNumId w:val="18"/>
  </w:num>
  <w:num w:numId="23">
    <w:abstractNumId w:val="10"/>
  </w:num>
  <w:num w:numId="24">
    <w:abstractNumId w:val="21"/>
  </w:num>
  <w:num w:numId="25">
    <w:abstractNumId w:val="28"/>
  </w:num>
  <w:num w:numId="26">
    <w:abstractNumId w:val="24"/>
  </w:num>
  <w:num w:numId="27">
    <w:abstractNumId w:val="25"/>
  </w:num>
  <w:num w:numId="28">
    <w:abstractNumId w:val="3"/>
  </w:num>
  <w:num w:numId="29">
    <w:abstractNumId w:val="31"/>
  </w:num>
  <w:num w:numId="30">
    <w:abstractNumId w:val="4"/>
  </w:num>
  <w:num w:numId="31">
    <w:abstractNumId w:val="14"/>
  </w:num>
  <w:num w:numId="32">
    <w:abstractNumId w:val="6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16"/>
    <w:rsid w:val="00006B47"/>
    <w:rsid w:val="00014400"/>
    <w:rsid w:val="0001474D"/>
    <w:rsid w:val="000172AB"/>
    <w:rsid w:val="00020300"/>
    <w:rsid w:val="000218A9"/>
    <w:rsid w:val="000238AD"/>
    <w:rsid w:val="0002749E"/>
    <w:rsid w:val="0003442D"/>
    <w:rsid w:val="00040841"/>
    <w:rsid w:val="00051679"/>
    <w:rsid w:val="0005587D"/>
    <w:rsid w:val="000574FF"/>
    <w:rsid w:val="00057A14"/>
    <w:rsid w:val="00060290"/>
    <w:rsid w:val="00060C10"/>
    <w:rsid w:val="0006179E"/>
    <w:rsid w:val="000676D2"/>
    <w:rsid w:val="00074AD7"/>
    <w:rsid w:val="000951C8"/>
    <w:rsid w:val="00095D5B"/>
    <w:rsid w:val="000A30AE"/>
    <w:rsid w:val="000B1F04"/>
    <w:rsid w:val="000B54DF"/>
    <w:rsid w:val="000B5DFB"/>
    <w:rsid w:val="000C045A"/>
    <w:rsid w:val="000C2C62"/>
    <w:rsid w:val="000C343A"/>
    <w:rsid w:val="000D3355"/>
    <w:rsid w:val="000D4E89"/>
    <w:rsid w:val="000E33B5"/>
    <w:rsid w:val="000E7963"/>
    <w:rsid w:val="00104E9A"/>
    <w:rsid w:val="00105882"/>
    <w:rsid w:val="00106493"/>
    <w:rsid w:val="00107B4F"/>
    <w:rsid w:val="00113C7B"/>
    <w:rsid w:val="00117ED4"/>
    <w:rsid w:val="00121D1D"/>
    <w:rsid w:val="00122A0B"/>
    <w:rsid w:val="00123672"/>
    <w:rsid w:val="001252AC"/>
    <w:rsid w:val="00131DF4"/>
    <w:rsid w:val="00133181"/>
    <w:rsid w:val="00137BB9"/>
    <w:rsid w:val="001422CA"/>
    <w:rsid w:val="00142395"/>
    <w:rsid w:val="00143057"/>
    <w:rsid w:val="00144D30"/>
    <w:rsid w:val="00152649"/>
    <w:rsid w:val="0015289F"/>
    <w:rsid w:val="00154279"/>
    <w:rsid w:val="00162397"/>
    <w:rsid w:val="00166083"/>
    <w:rsid w:val="00172119"/>
    <w:rsid w:val="00176550"/>
    <w:rsid w:val="001774E5"/>
    <w:rsid w:val="00177821"/>
    <w:rsid w:val="00187ACF"/>
    <w:rsid w:val="00187DB4"/>
    <w:rsid w:val="001911F2"/>
    <w:rsid w:val="0019335C"/>
    <w:rsid w:val="00195597"/>
    <w:rsid w:val="00195B41"/>
    <w:rsid w:val="001A04FB"/>
    <w:rsid w:val="001A44C3"/>
    <w:rsid w:val="001A5876"/>
    <w:rsid w:val="001B18C6"/>
    <w:rsid w:val="001C1DFB"/>
    <w:rsid w:val="001C49EB"/>
    <w:rsid w:val="001D0F6C"/>
    <w:rsid w:val="001D2436"/>
    <w:rsid w:val="001D5906"/>
    <w:rsid w:val="001D5C2C"/>
    <w:rsid w:val="001D753B"/>
    <w:rsid w:val="001E0380"/>
    <w:rsid w:val="001E2872"/>
    <w:rsid w:val="001E6DC9"/>
    <w:rsid w:val="001E781C"/>
    <w:rsid w:val="001F10AB"/>
    <w:rsid w:val="001F4898"/>
    <w:rsid w:val="00205EA4"/>
    <w:rsid w:val="002078A9"/>
    <w:rsid w:val="00212504"/>
    <w:rsid w:val="00213F25"/>
    <w:rsid w:val="00217ABE"/>
    <w:rsid w:val="00231DD5"/>
    <w:rsid w:val="002323F0"/>
    <w:rsid w:val="00233105"/>
    <w:rsid w:val="002354F9"/>
    <w:rsid w:val="00243165"/>
    <w:rsid w:val="0024569F"/>
    <w:rsid w:val="0024709C"/>
    <w:rsid w:val="00252396"/>
    <w:rsid w:val="0026216C"/>
    <w:rsid w:val="00262EB5"/>
    <w:rsid w:val="002679DB"/>
    <w:rsid w:val="00270800"/>
    <w:rsid w:val="00271172"/>
    <w:rsid w:val="002716AF"/>
    <w:rsid w:val="0027339B"/>
    <w:rsid w:val="00277829"/>
    <w:rsid w:val="00277A38"/>
    <w:rsid w:val="0028654D"/>
    <w:rsid w:val="00287B20"/>
    <w:rsid w:val="002902F3"/>
    <w:rsid w:val="002944C2"/>
    <w:rsid w:val="002A2EDE"/>
    <w:rsid w:val="002A4A14"/>
    <w:rsid w:val="002A5028"/>
    <w:rsid w:val="002A642F"/>
    <w:rsid w:val="002B2AC8"/>
    <w:rsid w:val="002B3FEA"/>
    <w:rsid w:val="002B4336"/>
    <w:rsid w:val="002C4D7B"/>
    <w:rsid w:val="002C4E57"/>
    <w:rsid w:val="002D2987"/>
    <w:rsid w:val="002D628D"/>
    <w:rsid w:val="002D6DE4"/>
    <w:rsid w:val="002D7817"/>
    <w:rsid w:val="002E712F"/>
    <w:rsid w:val="002F32CF"/>
    <w:rsid w:val="002F4DC1"/>
    <w:rsid w:val="002F57C9"/>
    <w:rsid w:val="002F7361"/>
    <w:rsid w:val="003105F9"/>
    <w:rsid w:val="00310B50"/>
    <w:rsid w:val="00321E60"/>
    <w:rsid w:val="003267CD"/>
    <w:rsid w:val="00326D69"/>
    <w:rsid w:val="003306B9"/>
    <w:rsid w:val="003306EE"/>
    <w:rsid w:val="00332B3B"/>
    <w:rsid w:val="00334276"/>
    <w:rsid w:val="003351DB"/>
    <w:rsid w:val="003374D3"/>
    <w:rsid w:val="00344B94"/>
    <w:rsid w:val="00345944"/>
    <w:rsid w:val="0036116C"/>
    <w:rsid w:val="003615CB"/>
    <w:rsid w:val="00363DC9"/>
    <w:rsid w:val="003656F5"/>
    <w:rsid w:val="003672C9"/>
    <w:rsid w:val="003723EB"/>
    <w:rsid w:val="00374805"/>
    <w:rsid w:val="00382F1E"/>
    <w:rsid w:val="00385C7A"/>
    <w:rsid w:val="00393F01"/>
    <w:rsid w:val="00396760"/>
    <w:rsid w:val="003A0529"/>
    <w:rsid w:val="003A30C6"/>
    <w:rsid w:val="003B0313"/>
    <w:rsid w:val="003B21AC"/>
    <w:rsid w:val="003E0EDD"/>
    <w:rsid w:val="003E27C3"/>
    <w:rsid w:val="003E2BC6"/>
    <w:rsid w:val="003E58FD"/>
    <w:rsid w:val="003E7A2D"/>
    <w:rsid w:val="003F05F7"/>
    <w:rsid w:val="003F429B"/>
    <w:rsid w:val="003F5688"/>
    <w:rsid w:val="003F7129"/>
    <w:rsid w:val="00401184"/>
    <w:rsid w:val="00405DEA"/>
    <w:rsid w:val="00406DAB"/>
    <w:rsid w:val="004125BB"/>
    <w:rsid w:val="004129FD"/>
    <w:rsid w:val="00413567"/>
    <w:rsid w:val="0041367A"/>
    <w:rsid w:val="00415EF2"/>
    <w:rsid w:val="0042003D"/>
    <w:rsid w:val="00421931"/>
    <w:rsid w:val="00422356"/>
    <w:rsid w:val="00440B47"/>
    <w:rsid w:val="00443969"/>
    <w:rsid w:val="00444000"/>
    <w:rsid w:val="00456E19"/>
    <w:rsid w:val="00457D86"/>
    <w:rsid w:val="00461568"/>
    <w:rsid w:val="00462351"/>
    <w:rsid w:val="004626B9"/>
    <w:rsid w:val="00466EE1"/>
    <w:rsid w:val="00470182"/>
    <w:rsid w:val="0047441C"/>
    <w:rsid w:val="0047543A"/>
    <w:rsid w:val="004841DB"/>
    <w:rsid w:val="004908EB"/>
    <w:rsid w:val="004969AB"/>
    <w:rsid w:val="004A1A49"/>
    <w:rsid w:val="004A602D"/>
    <w:rsid w:val="004A696F"/>
    <w:rsid w:val="004B595D"/>
    <w:rsid w:val="004B71AE"/>
    <w:rsid w:val="004C2426"/>
    <w:rsid w:val="004C4B9A"/>
    <w:rsid w:val="004D4CDB"/>
    <w:rsid w:val="004D5FB0"/>
    <w:rsid w:val="004D6116"/>
    <w:rsid w:val="004F3B07"/>
    <w:rsid w:val="00503AFA"/>
    <w:rsid w:val="00514B62"/>
    <w:rsid w:val="0051664F"/>
    <w:rsid w:val="0051785C"/>
    <w:rsid w:val="005219E7"/>
    <w:rsid w:val="00522E79"/>
    <w:rsid w:val="0052572D"/>
    <w:rsid w:val="0054037F"/>
    <w:rsid w:val="00540F43"/>
    <w:rsid w:val="0054293A"/>
    <w:rsid w:val="00550C34"/>
    <w:rsid w:val="00554E8A"/>
    <w:rsid w:val="00555CF5"/>
    <w:rsid w:val="00556C7E"/>
    <w:rsid w:val="00557ADF"/>
    <w:rsid w:val="00567B03"/>
    <w:rsid w:val="00570416"/>
    <w:rsid w:val="00571C08"/>
    <w:rsid w:val="00575B8E"/>
    <w:rsid w:val="00575FAB"/>
    <w:rsid w:val="00576A8F"/>
    <w:rsid w:val="005817C3"/>
    <w:rsid w:val="005819DE"/>
    <w:rsid w:val="005822E0"/>
    <w:rsid w:val="00583E97"/>
    <w:rsid w:val="005935CE"/>
    <w:rsid w:val="005A4208"/>
    <w:rsid w:val="005A5758"/>
    <w:rsid w:val="005A6B41"/>
    <w:rsid w:val="005B3FEC"/>
    <w:rsid w:val="005C0374"/>
    <w:rsid w:val="005C533E"/>
    <w:rsid w:val="005E5E0E"/>
    <w:rsid w:val="005E7CC4"/>
    <w:rsid w:val="005F2378"/>
    <w:rsid w:val="005F3A1A"/>
    <w:rsid w:val="005F44F0"/>
    <w:rsid w:val="00600EB9"/>
    <w:rsid w:val="006012B4"/>
    <w:rsid w:val="00614606"/>
    <w:rsid w:val="00615FE0"/>
    <w:rsid w:val="00633E44"/>
    <w:rsid w:val="00643569"/>
    <w:rsid w:val="00644652"/>
    <w:rsid w:val="006464D3"/>
    <w:rsid w:val="00647B51"/>
    <w:rsid w:val="00651A15"/>
    <w:rsid w:val="00651EAD"/>
    <w:rsid w:val="006578F9"/>
    <w:rsid w:val="00665731"/>
    <w:rsid w:val="0066575F"/>
    <w:rsid w:val="00667C22"/>
    <w:rsid w:val="0067032B"/>
    <w:rsid w:val="006747EA"/>
    <w:rsid w:val="00675DB4"/>
    <w:rsid w:val="00676E44"/>
    <w:rsid w:val="00684BC5"/>
    <w:rsid w:val="00686880"/>
    <w:rsid w:val="00686C9D"/>
    <w:rsid w:val="00691D4C"/>
    <w:rsid w:val="00692040"/>
    <w:rsid w:val="00692465"/>
    <w:rsid w:val="00694140"/>
    <w:rsid w:val="00695148"/>
    <w:rsid w:val="006A06C8"/>
    <w:rsid w:val="006A3035"/>
    <w:rsid w:val="006B2391"/>
    <w:rsid w:val="006C0489"/>
    <w:rsid w:val="006C0B2A"/>
    <w:rsid w:val="006C12DD"/>
    <w:rsid w:val="006C258B"/>
    <w:rsid w:val="006C48FA"/>
    <w:rsid w:val="006C51EB"/>
    <w:rsid w:val="006D1B36"/>
    <w:rsid w:val="006D4C85"/>
    <w:rsid w:val="006E3CF8"/>
    <w:rsid w:val="006E5B41"/>
    <w:rsid w:val="00700FF0"/>
    <w:rsid w:val="0070109E"/>
    <w:rsid w:val="007052D4"/>
    <w:rsid w:val="0071269B"/>
    <w:rsid w:val="00715E20"/>
    <w:rsid w:val="00715EC4"/>
    <w:rsid w:val="00716850"/>
    <w:rsid w:val="0072058A"/>
    <w:rsid w:val="0072399E"/>
    <w:rsid w:val="00726362"/>
    <w:rsid w:val="00727C91"/>
    <w:rsid w:val="00731692"/>
    <w:rsid w:val="007339D2"/>
    <w:rsid w:val="00734DBC"/>
    <w:rsid w:val="007376EA"/>
    <w:rsid w:val="0074037F"/>
    <w:rsid w:val="00754792"/>
    <w:rsid w:val="007626F0"/>
    <w:rsid w:val="00762923"/>
    <w:rsid w:val="0077000A"/>
    <w:rsid w:val="0077101D"/>
    <w:rsid w:val="007724FE"/>
    <w:rsid w:val="007740B2"/>
    <w:rsid w:val="00781D55"/>
    <w:rsid w:val="00783746"/>
    <w:rsid w:val="00783876"/>
    <w:rsid w:val="007848E3"/>
    <w:rsid w:val="00786860"/>
    <w:rsid w:val="00790B34"/>
    <w:rsid w:val="007938E8"/>
    <w:rsid w:val="007A6BD5"/>
    <w:rsid w:val="007A7335"/>
    <w:rsid w:val="007B0150"/>
    <w:rsid w:val="007B3A6A"/>
    <w:rsid w:val="007B44E9"/>
    <w:rsid w:val="007B4807"/>
    <w:rsid w:val="007B5A44"/>
    <w:rsid w:val="007B7791"/>
    <w:rsid w:val="007C0D7C"/>
    <w:rsid w:val="007C249B"/>
    <w:rsid w:val="007C2EEC"/>
    <w:rsid w:val="007D79D1"/>
    <w:rsid w:val="007E19F4"/>
    <w:rsid w:val="007E595A"/>
    <w:rsid w:val="007E60F5"/>
    <w:rsid w:val="007E6FD2"/>
    <w:rsid w:val="007F072F"/>
    <w:rsid w:val="007F1ED0"/>
    <w:rsid w:val="007F56F2"/>
    <w:rsid w:val="00804CEC"/>
    <w:rsid w:val="0081237E"/>
    <w:rsid w:val="00821B37"/>
    <w:rsid w:val="008222F3"/>
    <w:rsid w:val="008230BF"/>
    <w:rsid w:val="00824A87"/>
    <w:rsid w:val="008264C5"/>
    <w:rsid w:val="008335ED"/>
    <w:rsid w:val="00835CAC"/>
    <w:rsid w:val="00836D9D"/>
    <w:rsid w:val="008528C7"/>
    <w:rsid w:val="00861B33"/>
    <w:rsid w:val="00861CE1"/>
    <w:rsid w:val="00873DE6"/>
    <w:rsid w:val="00877A0E"/>
    <w:rsid w:val="0088472A"/>
    <w:rsid w:val="008852B9"/>
    <w:rsid w:val="00885D5C"/>
    <w:rsid w:val="00890DE4"/>
    <w:rsid w:val="0089227D"/>
    <w:rsid w:val="008A6EC5"/>
    <w:rsid w:val="008B15B5"/>
    <w:rsid w:val="008B46C8"/>
    <w:rsid w:val="008B508C"/>
    <w:rsid w:val="008C14C7"/>
    <w:rsid w:val="008C197C"/>
    <w:rsid w:val="008C3C1E"/>
    <w:rsid w:val="008C41B2"/>
    <w:rsid w:val="008C4EF7"/>
    <w:rsid w:val="008C6708"/>
    <w:rsid w:val="008D0B26"/>
    <w:rsid w:val="008D6918"/>
    <w:rsid w:val="008E1343"/>
    <w:rsid w:val="008E5255"/>
    <w:rsid w:val="008F299A"/>
    <w:rsid w:val="008F7C7C"/>
    <w:rsid w:val="009002FE"/>
    <w:rsid w:val="009005C4"/>
    <w:rsid w:val="0092372F"/>
    <w:rsid w:val="0093003F"/>
    <w:rsid w:val="00935EE6"/>
    <w:rsid w:val="0094225C"/>
    <w:rsid w:val="0094516C"/>
    <w:rsid w:val="00946DA9"/>
    <w:rsid w:val="00950555"/>
    <w:rsid w:val="009577F2"/>
    <w:rsid w:val="009578D4"/>
    <w:rsid w:val="0096627A"/>
    <w:rsid w:val="009735B8"/>
    <w:rsid w:val="009736D9"/>
    <w:rsid w:val="00977AA2"/>
    <w:rsid w:val="00977C0D"/>
    <w:rsid w:val="00983315"/>
    <w:rsid w:val="0099461D"/>
    <w:rsid w:val="00997A5B"/>
    <w:rsid w:val="009B1527"/>
    <w:rsid w:val="009B255A"/>
    <w:rsid w:val="009B27CD"/>
    <w:rsid w:val="009B538C"/>
    <w:rsid w:val="009B5D70"/>
    <w:rsid w:val="009C4AFA"/>
    <w:rsid w:val="009C659B"/>
    <w:rsid w:val="009D545F"/>
    <w:rsid w:val="009D7FF4"/>
    <w:rsid w:val="009E2DC7"/>
    <w:rsid w:val="009F072D"/>
    <w:rsid w:val="009F10D9"/>
    <w:rsid w:val="009F56E7"/>
    <w:rsid w:val="009F6EA3"/>
    <w:rsid w:val="009F7CD6"/>
    <w:rsid w:val="00A04D76"/>
    <w:rsid w:val="00A050E6"/>
    <w:rsid w:val="00A17070"/>
    <w:rsid w:val="00A17FEC"/>
    <w:rsid w:val="00A21745"/>
    <w:rsid w:val="00A24381"/>
    <w:rsid w:val="00A2497B"/>
    <w:rsid w:val="00A25AFE"/>
    <w:rsid w:val="00A31852"/>
    <w:rsid w:val="00A35874"/>
    <w:rsid w:val="00A367CA"/>
    <w:rsid w:val="00A36936"/>
    <w:rsid w:val="00A36B9A"/>
    <w:rsid w:val="00A37011"/>
    <w:rsid w:val="00A372B5"/>
    <w:rsid w:val="00A4399A"/>
    <w:rsid w:val="00A5037B"/>
    <w:rsid w:val="00A60021"/>
    <w:rsid w:val="00A63401"/>
    <w:rsid w:val="00A66DFB"/>
    <w:rsid w:val="00A714C8"/>
    <w:rsid w:val="00A71E79"/>
    <w:rsid w:val="00A72934"/>
    <w:rsid w:val="00A72E92"/>
    <w:rsid w:val="00A7305E"/>
    <w:rsid w:val="00A74696"/>
    <w:rsid w:val="00A816C5"/>
    <w:rsid w:val="00A838E5"/>
    <w:rsid w:val="00A85860"/>
    <w:rsid w:val="00A91B84"/>
    <w:rsid w:val="00A948C2"/>
    <w:rsid w:val="00A97ECF"/>
    <w:rsid w:val="00AA26EE"/>
    <w:rsid w:val="00AA3503"/>
    <w:rsid w:val="00AA6061"/>
    <w:rsid w:val="00AB6949"/>
    <w:rsid w:val="00AC1B3B"/>
    <w:rsid w:val="00AC2CFB"/>
    <w:rsid w:val="00AC45C4"/>
    <w:rsid w:val="00AD0607"/>
    <w:rsid w:val="00AD2E53"/>
    <w:rsid w:val="00AD3EF9"/>
    <w:rsid w:val="00AD787B"/>
    <w:rsid w:val="00AE6E23"/>
    <w:rsid w:val="00AF2F69"/>
    <w:rsid w:val="00AF6ADF"/>
    <w:rsid w:val="00AF7DA5"/>
    <w:rsid w:val="00B02CDE"/>
    <w:rsid w:val="00B071AC"/>
    <w:rsid w:val="00B1103B"/>
    <w:rsid w:val="00B1454B"/>
    <w:rsid w:val="00B15EA6"/>
    <w:rsid w:val="00B15F04"/>
    <w:rsid w:val="00B16028"/>
    <w:rsid w:val="00B164A0"/>
    <w:rsid w:val="00B2197E"/>
    <w:rsid w:val="00B21FCE"/>
    <w:rsid w:val="00B234BC"/>
    <w:rsid w:val="00B258CE"/>
    <w:rsid w:val="00B26C2D"/>
    <w:rsid w:val="00B3068E"/>
    <w:rsid w:val="00B33EBB"/>
    <w:rsid w:val="00B3452B"/>
    <w:rsid w:val="00B34AB7"/>
    <w:rsid w:val="00B40640"/>
    <w:rsid w:val="00B43ECB"/>
    <w:rsid w:val="00B50C75"/>
    <w:rsid w:val="00B51740"/>
    <w:rsid w:val="00B66BC9"/>
    <w:rsid w:val="00B672D0"/>
    <w:rsid w:val="00B67D41"/>
    <w:rsid w:val="00B701A4"/>
    <w:rsid w:val="00B71039"/>
    <w:rsid w:val="00B74D43"/>
    <w:rsid w:val="00B76084"/>
    <w:rsid w:val="00B80FCA"/>
    <w:rsid w:val="00B82182"/>
    <w:rsid w:val="00B86002"/>
    <w:rsid w:val="00B919FA"/>
    <w:rsid w:val="00B94BF9"/>
    <w:rsid w:val="00BA7D97"/>
    <w:rsid w:val="00BB0AE2"/>
    <w:rsid w:val="00BB7A4A"/>
    <w:rsid w:val="00BC0CF7"/>
    <w:rsid w:val="00BC0FA7"/>
    <w:rsid w:val="00BC1176"/>
    <w:rsid w:val="00BC26AB"/>
    <w:rsid w:val="00BD05DC"/>
    <w:rsid w:val="00BD3862"/>
    <w:rsid w:val="00BD66E9"/>
    <w:rsid w:val="00BE0E75"/>
    <w:rsid w:val="00BE103B"/>
    <w:rsid w:val="00BE172D"/>
    <w:rsid w:val="00C005C8"/>
    <w:rsid w:val="00C00886"/>
    <w:rsid w:val="00C02067"/>
    <w:rsid w:val="00C0286C"/>
    <w:rsid w:val="00C1095A"/>
    <w:rsid w:val="00C10C8B"/>
    <w:rsid w:val="00C10D1D"/>
    <w:rsid w:val="00C13C9E"/>
    <w:rsid w:val="00C15586"/>
    <w:rsid w:val="00C26EE2"/>
    <w:rsid w:val="00C31EBD"/>
    <w:rsid w:val="00C34C71"/>
    <w:rsid w:val="00C361B4"/>
    <w:rsid w:val="00C37FCA"/>
    <w:rsid w:val="00C409CC"/>
    <w:rsid w:val="00C42BF7"/>
    <w:rsid w:val="00C47130"/>
    <w:rsid w:val="00C54387"/>
    <w:rsid w:val="00C64105"/>
    <w:rsid w:val="00C647EE"/>
    <w:rsid w:val="00C67AFE"/>
    <w:rsid w:val="00C746C7"/>
    <w:rsid w:val="00C93AD8"/>
    <w:rsid w:val="00C95D91"/>
    <w:rsid w:val="00C97664"/>
    <w:rsid w:val="00CA0557"/>
    <w:rsid w:val="00CA24C9"/>
    <w:rsid w:val="00CA4590"/>
    <w:rsid w:val="00CB1FDA"/>
    <w:rsid w:val="00CB3345"/>
    <w:rsid w:val="00CB63E0"/>
    <w:rsid w:val="00CC14B6"/>
    <w:rsid w:val="00CC1BFA"/>
    <w:rsid w:val="00CC354F"/>
    <w:rsid w:val="00CC3AA7"/>
    <w:rsid w:val="00CC3BB2"/>
    <w:rsid w:val="00CC5821"/>
    <w:rsid w:val="00CD4CA0"/>
    <w:rsid w:val="00CD658F"/>
    <w:rsid w:val="00CD6D84"/>
    <w:rsid w:val="00CE0DE5"/>
    <w:rsid w:val="00CE2C37"/>
    <w:rsid w:val="00CE4087"/>
    <w:rsid w:val="00CE549E"/>
    <w:rsid w:val="00CF00F1"/>
    <w:rsid w:val="00CF122A"/>
    <w:rsid w:val="00CF3B42"/>
    <w:rsid w:val="00D0197C"/>
    <w:rsid w:val="00D03E17"/>
    <w:rsid w:val="00D041FF"/>
    <w:rsid w:val="00D0420D"/>
    <w:rsid w:val="00D146D3"/>
    <w:rsid w:val="00D1555B"/>
    <w:rsid w:val="00D17B02"/>
    <w:rsid w:val="00D204FA"/>
    <w:rsid w:val="00D216FB"/>
    <w:rsid w:val="00D229A1"/>
    <w:rsid w:val="00D320F6"/>
    <w:rsid w:val="00D36CB2"/>
    <w:rsid w:val="00D36EE2"/>
    <w:rsid w:val="00D43113"/>
    <w:rsid w:val="00D4484E"/>
    <w:rsid w:val="00D44B20"/>
    <w:rsid w:val="00D46F3C"/>
    <w:rsid w:val="00D51094"/>
    <w:rsid w:val="00D527F1"/>
    <w:rsid w:val="00D65BFF"/>
    <w:rsid w:val="00D675E7"/>
    <w:rsid w:val="00D67E4C"/>
    <w:rsid w:val="00D74E20"/>
    <w:rsid w:val="00D9051F"/>
    <w:rsid w:val="00D92DAF"/>
    <w:rsid w:val="00D92F39"/>
    <w:rsid w:val="00D94320"/>
    <w:rsid w:val="00D9573B"/>
    <w:rsid w:val="00DA008D"/>
    <w:rsid w:val="00DA0915"/>
    <w:rsid w:val="00DA1566"/>
    <w:rsid w:val="00DA2D52"/>
    <w:rsid w:val="00DB6200"/>
    <w:rsid w:val="00DC1467"/>
    <w:rsid w:val="00DC2536"/>
    <w:rsid w:val="00DC79D7"/>
    <w:rsid w:val="00DD03BB"/>
    <w:rsid w:val="00DD219D"/>
    <w:rsid w:val="00DD4208"/>
    <w:rsid w:val="00DD4C8D"/>
    <w:rsid w:val="00DE4869"/>
    <w:rsid w:val="00E0319F"/>
    <w:rsid w:val="00E148EC"/>
    <w:rsid w:val="00E1551E"/>
    <w:rsid w:val="00E15C92"/>
    <w:rsid w:val="00E1750E"/>
    <w:rsid w:val="00E22EA7"/>
    <w:rsid w:val="00E26726"/>
    <w:rsid w:val="00E34687"/>
    <w:rsid w:val="00E35068"/>
    <w:rsid w:val="00E4108F"/>
    <w:rsid w:val="00E41653"/>
    <w:rsid w:val="00E4660F"/>
    <w:rsid w:val="00E50870"/>
    <w:rsid w:val="00E51CDF"/>
    <w:rsid w:val="00E544B8"/>
    <w:rsid w:val="00E56ACF"/>
    <w:rsid w:val="00E578EE"/>
    <w:rsid w:val="00E57FE8"/>
    <w:rsid w:val="00E636A2"/>
    <w:rsid w:val="00E66CFF"/>
    <w:rsid w:val="00E676E4"/>
    <w:rsid w:val="00E75705"/>
    <w:rsid w:val="00E77033"/>
    <w:rsid w:val="00E807C8"/>
    <w:rsid w:val="00E85501"/>
    <w:rsid w:val="00E860B7"/>
    <w:rsid w:val="00E90C85"/>
    <w:rsid w:val="00EB4DFE"/>
    <w:rsid w:val="00EC4C6D"/>
    <w:rsid w:val="00ED14DE"/>
    <w:rsid w:val="00ED5447"/>
    <w:rsid w:val="00ED5993"/>
    <w:rsid w:val="00ED7C6C"/>
    <w:rsid w:val="00EE5713"/>
    <w:rsid w:val="00EE754C"/>
    <w:rsid w:val="00EF4E82"/>
    <w:rsid w:val="00F00E96"/>
    <w:rsid w:val="00F0377B"/>
    <w:rsid w:val="00F05FC8"/>
    <w:rsid w:val="00F1535B"/>
    <w:rsid w:val="00F168A9"/>
    <w:rsid w:val="00F25108"/>
    <w:rsid w:val="00F253E1"/>
    <w:rsid w:val="00F33A68"/>
    <w:rsid w:val="00F36EB2"/>
    <w:rsid w:val="00F376DF"/>
    <w:rsid w:val="00F42D61"/>
    <w:rsid w:val="00F440B1"/>
    <w:rsid w:val="00F44356"/>
    <w:rsid w:val="00F46EC8"/>
    <w:rsid w:val="00F51210"/>
    <w:rsid w:val="00F55BF9"/>
    <w:rsid w:val="00F565DA"/>
    <w:rsid w:val="00F617C1"/>
    <w:rsid w:val="00F61F67"/>
    <w:rsid w:val="00F623A7"/>
    <w:rsid w:val="00F62B93"/>
    <w:rsid w:val="00F632F6"/>
    <w:rsid w:val="00F63559"/>
    <w:rsid w:val="00F67F50"/>
    <w:rsid w:val="00F71603"/>
    <w:rsid w:val="00F734CA"/>
    <w:rsid w:val="00F76016"/>
    <w:rsid w:val="00F76CAC"/>
    <w:rsid w:val="00F82C70"/>
    <w:rsid w:val="00F82EA3"/>
    <w:rsid w:val="00F841EC"/>
    <w:rsid w:val="00F86EE1"/>
    <w:rsid w:val="00F9315F"/>
    <w:rsid w:val="00F94DF7"/>
    <w:rsid w:val="00FA0149"/>
    <w:rsid w:val="00FA3051"/>
    <w:rsid w:val="00FA6E10"/>
    <w:rsid w:val="00FB4C52"/>
    <w:rsid w:val="00FB5B82"/>
    <w:rsid w:val="00FB651B"/>
    <w:rsid w:val="00FC08F4"/>
    <w:rsid w:val="00FC0F86"/>
    <w:rsid w:val="00FC540E"/>
    <w:rsid w:val="00FC780B"/>
    <w:rsid w:val="00FD05E7"/>
    <w:rsid w:val="00FD2C9F"/>
    <w:rsid w:val="00FD3086"/>
    <w:rsid w:val="00FD51E3"/>
    <w:rsid w:val="00FE2C2D"/>
    <w:rsid w:val="00FE44F2"/>
    <w:rsid w:val="00FF213C"/>
    <w:rsid w:val="00FF36C0"/>
    <w:rsid w:val="00FF3A67"/>
    <w:rsid w:val="00FF6586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7936A-547E-4AA2-A30A-D9349A8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1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A0B"/>
    <w:pPr>
      <w:ind w:left="720"/>
      <w:contextualSpacing/>
    </w:pPr>
  </w:style>
  <w:style w:type="table" w:styleId="TableGrid">
    <w:name w:val="Table Grid"/>
    <w:basedOn w:val="TableNormal"/>
    <w:uiPriority w:val="59"/>
    <w:rsid w:val="00B80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2902F3"/>
  </w:style>
  <w:style w:type="paragraph" w:styleId="BalloonText">
    <w:name w:val="Balloon Text"/>
    <w:basedOn w:val="Normal"/>
    <w:link w:val="BalloonTextChar"/>
    <w:uiPriority w:val="99"/>
    <w:semiHidden/>
    <w:unhideWhenUsed/>
    <w:rsid w:val="0064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4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2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2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2749E"/>
    <w:rPr>
      <w:rFonts w:ascii="Times New Roman" w:eastAsia="Times New Roman" w:hAnsi="Times New Roman"/>
      <w:sz w:val="24"/>
      <w:szCs w:val="24"/>
    </w:rPr>
  </w:style>
  <w:style w:type="paragraph" w:customStyle="1" w:styleId="koncept">
    <w:name w:val="koncept"/>
    <w:basedOn w:val="Normal"/>
    <w:link w:val="konceptChar"/>
    <w:qFormat/>
    <w:rsid w:val="0002749E"/>
    <w:pPr>
      <w:autoSpaceDE w:val="0"/>
      <w:autoSpaceDN w:val="0"/>
      <w:adjustRightInd w:val="0"/>
      <w:spacing w:before="240" w:after="240" w:line="360" w:lineRule="auto"/>
      <w:jc w:val="both"/>
    </w:pPr>
    <w:rPr>
      <w:rFonts w:ascii="Book Antiqua" w:hAnsi="Book Antiqua"/>
      <w:color w:val="000000"/>
      <w:sz w:val="22"/>
      <w:szCs w:val="22"/>
      <w:lang w:val="sq-AL"/>
    </w:rPr>
  </w:style>
  <w:style w:type="character" w:customStyle="1" w:styleId="konceptChar">
    <w:name w:val="koncept Char"/>
    <w:basedOn w:val="DefaultParagraphFont"/>
    <w:link w:val="koncept"/>
    <w:rsid w:val="0002749E"/>
    <w:rPr>
      <w:rFonts w:ascii="Book Antiqua" w:eastAsia="Times New Roman" w:hAnsi="Book Antiqua"/>
      <w:color w:val="000000"/>
      <w:sz w:val="22"/>
      <w:szCs w:val="22"/>
      <w:lang w:val="sq-AL"/>
    </w:rPr>
  </w:style>
  <w:style w:type="paragraph" w:styleId="Revision">
    <w:name w:val="Revision"/>
    <w:hidden/>
    <w:uiPriority w:val="99"/>
    <w:semiHidden/>
    <w:rsid w:val="00CB1FD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5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172119"/>
    <w:pPr>
      <w:jc w:val="center"/>
    </w:pPr>
    <w:rPr>
      <w:rFonts w:eastAsia="MS Mincho"/>
      <w:b/>
      <w:bCs/>
      <w:lang w:val="sq-AL"/>
    </w:rPr>
  </w:style>
  <w:style w:type="character" w:styleId="Emphasis">
    <w:name w:val="Emphasis"/>
    <w:qFormat/>
    <w:rsid w:val="00172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8353-87F9-4120-A402-D17FBD7A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3498</Words>
  <Characters>19940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drita.hasani</dc:creator>
  <cp:keywords/>
  <dc:description/>
  <cp:lastModifiedBy>Mentor Hoxha</cp:lastModifiedBy>
  <cp:revision>4</cp:revision>
  <cp:lastPrinted>2018-03-26T07:07:00Z</cp:lastPrinted>
  <dcterms:created xsi:type="dcterms:W3CDTF">2018-06-11T06:56:00Z</dcterms:created>
  <dcterms:modified xsi:type="dcterms:W3CDTF">2018-06-11T07:31:00Z</dcterms:modified>
</cp:coreProperties>
</file>